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3.png" ContentType="image/png"/>
  <Override PartName="/word/media/image1.jpeg" ContentType="image/jpeg"/>
  <Override PartName="/word/media/image2.jpeg" ContentType="image/jpeg"/>
  <Override PartName="/word/media/image4.jpeg" ContentType="image/jpeg"/>
  <Override PartName="/word/media/image5.jpeg" ContentType="image/jpeg"/>
  <Override PartName="/word/media/image6.png" ContentType="image/png"/>
  <Override PartName="/word/media/image7.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right" w:pos="10199" w:leader="none"/>
        </w:tabs>
        <w:rPr/>
      </w:pPr>
      <w:r>
        <w:rPr>
          <w:rFonts w:ascii="Arial Narrow" w:hAnsi="Arial Narrow"/>
          <w:b/>
          <w:sz w:val="18"/>
        </w:rPr>
        <w:t>Servizio comunicazione interna ed esterna</w:t>
      </w:r>
      <w:r>
        <w:rPr>
          <w:rFonts w:ascii="Arial Narrow" w:hAnsi="Arial Narrow"/>
          <w:b/>
        </w:rPr>
        <w:tab/>
      </w:r>
      <w:r>
        <w:rPr>
          <w:rFonts w:ascii="Swis721 BlkRnd BT" w:hAnsi="Swis721 BlkRnd BT"/>
          <w:sz w:val="24"/>
        </w:rPr>
        <w:t>COMUNICATO STAMPA</w:t>
      </w:r>
    </w:p>
    <w:p>
      <w:pPr>
        <w:pStyle w:val="Normal"/>
        <w:tabs>
          <w:tab w:val="right" w:pos="10199" w:leader="none"/>
        </w:tabs>
        <w:rPr/>
      </w:pPr>
      <w:r>
        <w:rPr>
          <w:rFonts w:ascii="Helvetica" w:hAnsi="Helvetica"/>
          <w:sz w:val="16"/>
          <w:szCs w:val="16"/>
        </w:rPr>
        <w:t>via Degasperi 79 - 38123 Trento</w:t>
      </w:r>
      <w:r>
        <w:rPr>
          <w:sz w:val="16"/>
          <w:szCs w:val="16"/>
        </w:rPr>
        <w:tab/>
      </w:r>
      <w:r>
        <w:rPr>
          <w:rFonts w:ascii="Helvetica" w:hAnsi="Helvetica"/>
          <w:sz w:val="16"/>
          <w:szCs w:val="16"/>
        </w:rPr>
        <w:t xml:space="preserve">sito internet: </w:t>
      </w:r>
      <w:hyperlink r:id="rId2">
        <w:r>
          <w:rPr>
            <w:rStyle w:val="CollegamentoInternet"/>
            <w:rFonts w:ascii="Helvetica" w:hAnsi="Helvetica"/>
            <w:sz w:val="16"/>
            <w:szCs w:val="16"/>
          </w:rPr>
          <w:t>http://www.apss.tn.it</w:t>
        </w:r>
      </w:hyperlink>
    </w:p>
    <w:p>
      <w:pPr>
        <w:pStyle w:val="Normal"/>
        <w:tabs>
          <w:tab w:val="right" w:pos="10199" w:leader="none"/>
        </w:tabs>
        <w:rPr/>
      </w:pPr>
      <w:r>
        <w:rPr>
          <w:rFonts w:ascii="Helvetica" w:hAnsi="Helvetica"/>
          <w:sz w:val="16"/>
        </w:rPr>
        <w:t>Tel. 0461 904171</w:t>
      </w:r>
      <w:r>
        <w:rPr/>
        <w:tab/>
      </w:r>
      <w:r>
        <w:rPr>
          <w:rFonts w:ascii="Helvetica" w:hAnsi="Helvetica"/>
          <w:sz w:val="16"/>
          <w:szCs w:val="16"/>
        </w:rPr>
        <w:t xml:space="preserve">e-mail: </w:t>
      </w:r>
      <w:hyperlink r:id="rId3">
        <w:r>
          <w:rPr>
            <w:rStyle w:val="CollegamentoInternet"/>
            <w:rFonts w:ascii="Helvetica" w:hAnsi="Helvetica"/>
            <w:sz w:val="16"/>
            <w:szCs w:val="16"/>
          </w:rPr>
          <w:t>servizio.comunicazione@apss.tn.it</w:t>
        </w:r>
      </w:hyperlink>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p>
      <w:pPr>
        <w:pStyle w:val="Normal"/>
        <w:numPr>
          <w:ilvl w:val="0"/>
          <w:numId w:val="0"/>
        </w:numPr>
        <w:jc w:val="right"/>
        <w:outlineLvl w:val="0"/>
        <w:rPr>
          <w:rFonts w:ascii="Helvetica" w:hAnsi="Helvetica"/>
          <w:b/>
          <w:b/>
          <w:bCs/>
          <w:sz w:val="24"/>
        </w:rPr>
      </w:pPr>
      <w:r>
        <w:rPr>
          <w:rFonts w:ascii="Helvetica" w:hAnsi="Helvetica"/>
          <w:b/>
          <w:bCs/>
          <w:sz w:val="24"/>
        </w:rPr>
        <w:t>Trento, 25 novembre 2016</w:t>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p>
      <w:pPr>
        <w:pStyle w:val="Normal"/>
        <w:numPr>
          <w:ilvl w:val="0"/>
          <w:numId w:val="0"/>
        </w:numPr>
        <w:ind w:right="-149" w:hanging="0"/>
        <w:outlineLvl w:val="0"/>
        <w:rPr>
          <w:rFonts w:ascii="Helvetica" w:hAnsi="Helvetica"/>
          <w:b/>
          <w:b/>
          <w:bCs/>
          <w:caps/>
          <w:sz w:val="30"/>
          <w:szCs w:val="30"/>
        </w:rPr>
      </w:pPr>
      <w:bookmarkStart w:id="0" w:name="OLE_LINK10"/>
      <w:bookmarkStart w:id="1" w:name="OLE_LINK3"/>
      <w:bookmarkEnd w:id="0"/>
      <w:bookmarkEnd w:id="1"/>
      <w:r>
        <w:rPr>
          <w:rFonts w:ascii="Helvetica" w:hAnsi="Helvetica"/>
          <w:b/>
          <w:bCs/>
          <w:caps/>
          <w:sz w:val="30"/>
          <w:szCs w:val="30"/>
        </w:rPr>
        <w:t>il centro di protonterapia di trento</w:t>
      </w:r>
    </w:p>
    <w:p>
      <w:pPr>
        <w:pStyle w:val="Normal"/>
        <w:spacing w:lineRule="atLeast" w:line="360"/>
        <w:ind w:left="851" w:right="843" w:hanging="0"/>
        <w:jc w:val="both"/>
        <w:rPr>
          <w:rFonts w:ascii="Arial Narrow" w:hAnsi="Arial Narrow"/>
          <w:b/>
          <w:b/>
          <w:iCs/>
          <w:sz w:val="24"/>
        </w:rPr>
      </w:pPr>
      <w:r>
        <w:rPr>
          <w:rFonts w:ascii="Arial Narrow" w:hAnsi="Arial Narrow"/>
          <w:b/>
          <w:iCs/>
          <w:sz w:val="24"/>
        </w:rPr>
      </w:r>
    </w:p>
    <w:p>
      <w:pPr>
        <w:pStyle w:val="Normal"/>
        <w:spacing w:lineRule="atLeast" w:line="360"/>
        <w:ind w:right="-7" w:firstLine="709"/>
        <w:jc w:val="both"/>
        <w:rPr>
          <w:rFonts w:ascii="Arial" w:hAnsi="Arial" w:cs="Arial"/>
          <w:bCs/>
          <w:iCs/>
          <w:sz w:val="24"/>
          <w:szCs w:val="24"/>
        </w:rPr>
      </w:pPr>
      <w:r>
        <w:rPr>
          <w:rFonts w:cs="Arial" w:ascii="Arial" w:hAnsi="Arial"/>
          <w:bCs/>
          <w:iCs/>
          <w:sz w:val="24"/>
          <w:szCs w:val="24"/>
        </w:rPr>
        <w:t>Il Centro di protonterapia di Trento è una struttura altamente specialistica dedicata alla cura dei tumori attraverso l’utilizzo di tecnologia sofisticata e innovativa.</w:t>
      </w:r>
    </w:p>
    <w:p>
      <w:pPr>
        <w:pStyle w:val="Normal"/>
        <w:spacing w:lineRule="atLeast" w:line="360"/>
        <w:ind w:right="-7" w:firstLine="709"/>
        <w:jc w:val="both"/>
        <w:rPr/>
      </w:pPr>
      <w:r>
        <w:rPr>
          <w:rFonts w:cs="Arial" w:ascii="Arial" w:hAnsi="Arial"/>
          <w:bCs/>
          <w:iCs/>
          <w:sz w:val="24"/>
          <w:szCs w:val="24"/>
        </w:rPr>
        <w:t>La protonterapia è un trattamento radiante di precisione che utilizza particelle pesanti – i protoni – per irradiare le cellule tumorali. Questo trattamento innovativo è stato recentemente inserito dal ministero della salute nei nuovi livelli essenziali di assistenza (LEA) attualmente al vaglio del</w:t>
      </w:r>
      <w:r>
        <w:rPr>
          <w:rFonts w:cs="Arial" w:ascii="Arial" w:hAnsi="Arial"/>
          <w:bCs/>
          <w:iCs/>
          <w:sz w:val="24"/>
          <w:szCs w:val="24"/>
        </w:rPr>
        <w:t>lla Commissione della Camera. La prospettiva è che diventi operativo con il 1° gennaio 2017.</w:t>
      </w:r>
    </w:p>
    <w:p>
      <w:pPr>
        <w:pStyle w:val="Normal"/>
        <w:spacing w:lineRule="atLeast" w:line="360"/>
        <w:ind w:right="-7" w:firstLine="709"/>
        <w:jc w:val="both"/>
        <w:rPr>
          <w:rFonts w:ascii="Arial" w:hAnsi="Arial" w:cs="Arial"/>
          <w:bCs/>
          <w:iCs/>
          <w:sz w:val="24"/>
          <w:szCs w:val="24"/>
        </w:rPr>
      </w:pPr>
      <w:r>
        <w:rPr>
          <w:rFonts w:cs="Arial" w:ascii="Arial" w:hAnsi="Arial"/>
          <w:bCs/>
          <w:iCs/>
          <w:sz w:val="24"/>
          <w:szCs w:val="24"/>
        </w:rPr>
        <w:t xml:space="preserve">Le caratteristiche fisiche dei fasci di protoni sono tali da poter rilasciare la dose con estrema precisione sul bersaglio risparmiando i tessuti sani circostanti. Per l’erogazione della terapia è necessaria un’apparecchiatura di produzione delle particelle – il ciclotrone – e un sistema di trasporto e rilascio del fascio. Durante la terapia il paziente è posizionato su un lettino di trattamento all’interno del </w:t>
      </w:r>
      <w:r>
        <w:rPr>
          <w:rFonts w:cs="Arial" w:ascii="Arial" w:hAnsi="Arial"/>
          <w:bCs/>
          <w:i/>
          <w:iCs/>
          <w:sz w:val="24"/>
          <w:szCs w:val="24"/>
        </w:rPr>
        <w:t>Gantry</w:t>
      </w:r>
      <w:r>
        <w:rPr>
          <w:rFonts w:cs="Arial" w:ascii="Arial" w:hAnsi="Arial"/>
          <w:bCs/>
          <w:iCs/>
          <w:sz w:val="24"/>
          <w:szCs w:val="24"/>
        </w:rPr>
        <w:t>, la struttura che permette di indirizzare le radiazioni ruotando a 360° attorno al paziente. Il Centro di Trento è dotato di due camere di trattamento dedicate ai pazienti e di una, ad uso sperimentale e di ricerca, attrezzata con un fascio fisso.</w:t>
      </w:r>
    </w:p>
    <w:p>
      <w:pPr>
        <w:pStyle w:val="Normal"/>
        <w:spacing w:lineRule="atLeast" w:line="360"/>
        <w:ind w:right="-7" w:firstLine="709"/>
        <w:jc w:val="both"/>
        <w:rPr>
          <w:rFonts w:ascii="Arial" w:hAnsi="Arial" w:cs="Arial"/>
          <w:bCs/>
          <w:iCs/>
          <w:sz w:val="24"/>
          <w:szCs w:val="24"/>
        </w:rPr>
      </w:pPr>
      <w:r>
        <w:rPr>
          <w:rFonts w:cs="Arial" w:ascii="Arial" w:hAnsi="Arial"/>
          <w:bCs/>
          <w:iCs/>
          <w:sz w:val="24"/>
          <w:szCs w:val="24"/>
        </w:rPr>
        <w:t xml:space="preserve">Il trattamento con protoni è particolarmente indicato in situazioni cliniche difficili: in caso di lesioni in vicinanza di organi sensibili, in regioni anatomiche complesse, in caso di lesioni tumorali impegnative per forma e volume e in età pediatrica. In questi casi, grazie alle sue caratteristiche fisiche, esso risulta particolarmente indicato per ridurre gli eventuali effetti collaterali della terapia. Un ciclo di protonterapia consiste nella somministrazione di dosi multiple di radiazioni, eseguite con cadenza giornaliera, dal lunedì al venerdì, in base a quanto definito nello specifico piano di cura. </w:t>
      </w:r>
    </w:p>
    <w:p>
      <w:pPr>
        <w:pStyle w:val="Normal"/>
        <w:spacing w:lineRule="atLeast" w:line="360"/>
        <w:ind w:right="-7" w:firstLine="709"/>
        <w:jc w:val="both"/>
        <w:rPr>
          <w:rFonts w:ascii="Arial" w:hAnsi="Arial" w:cs="Arial"/>
          <w:bCs/>
          <w:iCs/>
          <w:sz w:val="24"/>
          <w:szCs w:val="24"/>
        </w:rPr>
      </w:pPr>
      <w:r>
        <w:rPr>
          <w:rFonts w:cs="Arial" w:ascii="Arial" w:hAnsi="Arial"/>
          <w:bCs/>
          <w:iCs/>
          <w:sz w:val="24"/>
          <w:szCs w:val="24"/>
        </w:rPr>
        <w:t>Il Centro è una delle unità operative dell’Ospedale di Trento e fa parte del Dipartimento oncologico. Ha iniziato l’attività clinica il 22 ottobre del 2014.</w:t>
      </w:r>
    </w:p>
    <w:p>
      <w:pPr>
        <w:pStyle w:val="Normal"/>
        <w:spacing w:lineRule="atLeast" w:line="360"/>
        <w:ind w:right="-7" w:firstLine="709"/>
        <w:jc w:val="both"/>
        <w:rPr>
          <w:rFonts w:ascii="Arial" w:hAnsi="Arial" w:cs="Arial"/>
          <w:bCs/>
          <w:iCs/>
          <w:sz w:val="24"/>
          <w:szCs w:val="24"/>
        </w:rPr>
      </w:pPr>
      <w:r>
        <w:rPr>
          <w:rFonts w:cs="Arial" w:ascii="Arial" w:hAnsi="Arial"/>
          <w:bCs/>
          <w:iCs/>
          <w:sz w:val="24"/>
          <w:szCs w:val="24"/>
        </w:rPr>
        <w:t>Da allora, attraverso un progressivo incremento del numero di pazienti e l’ampliamento delle indicazioni trattate, si è potuto raggiungere, con un attento percorso sviluppato con prudenza e in sicurezza per controllare la robustezza del trattamento erogato un numero di pazienti trattati che supera le duecento unità. Nello scorso mese di maggio è stata aperta la seconda camera di trattamento che ha permesso l’incremento del numero dei pazienti trattabili giornalmente.</w:t>
      </w:r>
    </w:p>
    <w:p>
      <w:pPr>
        <w:pStyle w:val="Normal"/>
        <w:spacing w:lineRule="atLeast" w:line="360"/>
        <w:ind w:right="-7" w:firstLine="709"/>
        <w:jc w:val="both"/>
        <w:rPr>
          <w:rFonts w:ascii="Arial" w:hAnsi="Arial" w:cs="Arial"/>
          <w:bCs/>
          <w:iCs/>
          <w:sz w:val="24"/>
          <w:szCs w:val="24"/>
        </w:rPr>
      </w:pPr>
      <w:r>
        <w:rPr>
          <w:rFonts w:cs="Arial" w:ascii="Arial" w:hAnsi="Arial"/>
          <w:bCs/>
          <w:iCs/>
          <w:sz w:val="24"/>
          <w:szCs w:val="24"/>
        </w:rPr>
        <w:t>Nei primi due anni di attività le richieste ricevute sono state oltre 1.500 e, dopo una prima scrematura, sono state esaminate 810 documentazioni complete valutabili che hanno portato alla prima visita di 250 casi. Per alcuni pazienti si sono individuate alternative terapeutiche adeguate e, purtroppo, molti pazienti potenzialmente trattabili non sono stati autorizzati dalla regione di appartenenza, cosa necessaria non essendo il trattamento di protonterapia ancora definitivamente inserita nei LEA.</w:t>
      </w:r>
    </w:p>
    <w:p>
      <w:pPr>
        <w:pStyle w:val="Normal"/>
        <w:spacing w:lineRule="atLeast" w:line="360"/>
        <w:ind w:right="-7" w:firstLine="709"/>
        <w:jc w:val="both"/>
        <w:rPr>
          <w:rFonts w:ascii="Arial" w:hAnsi="Arial" w:cs="Arial"/>
          <w:bCs/>
          <w:iCs/>
          <w:sz w:val="24"/>
          <w:szCs w:val="24"/>
        </w:rPr>
      </w:pPr>
      <w:r>
        <w:rPr>
          <w:rFonts w:cs="Arial" w:ascii="Arial" w:hAnsi="Arial"/>
          <w:bCs/>
          <w:iCs/>
          <w:sz w:val="24"/>
          <w:szCs w:val="24"/>
        </w:rPr>
        <w:t xml:space="preserve">Al 30 ottobre 2016 hanno iniziato il trattamento con protoni 214 pazienti (completato da 190) di cui 40 casi pediatrici, il cui trattamento è stato sviluppato solo a partire dalla fine di giugno 2015 e da dicembre 2015 anche in regime di anestesia. </w:t>
      </w:r>
    </w:p>
    <w:p>
      <w:pPr>
        <w:pStyle w:val="Normal"/>
        <w:spacing w:lineRule="atLeast" w:line="360"/>
        <w:ind w:right="-7" w:firstLine="709"/>
        <w:jc w:val="both"/>
        <w:rPr>
          <w:rFonts w:ascii="Arial" w:hAnsi="Arial" w:cs="Arial"/>
          <w:bCs/>
          <w:iCs/>
          <w:sz w:val="24"/>
          <w:szCs w:val="24"/>
        </w:rPr>
      </w:pPr>
      <w:r>
        <w:rPr>
          <w:rFonts w:cs="Arial" w:ascii="Arial" w:hAnsi="Arial"/>
          <w:bCs/>
          <w:iCs/>
          <w:sz w:val="24"/>
          <w:szCs w:val="24"/>
        </w:rPr>
        <w:t xml:space="preserve">Il trattamento di tali pazienti ha comportato complessivamente l’esecuzione di 5.700 sedute giornaliere di trattamento. </w:t>
      </w:r>
    </w:p>
    <w:p>
      <w:pPr>
        <w:pStyle w:val="Normal"/>
        <w:spacing w:lineRule="atLeast" w:line="360"/>
        <w:ind w:right="-7" w:firstLine="709"/>
        <w:jc w:val="both"/>
        <w:rPr>
          <w:rFonts w:ascii="Arial" w:hAnsi="Arial" w:cs="Arial"/>
          <w:bCs/>
          <w:iCs/>
          <w:sz w:val="24"/>
          <w:szCs w:val="24"/>
        </w:rPr>
      </w:pPr>
      <w:r>
        <w:rPr>
          <w:rFonts w:cs="Arial" w:ascii="Arial" w:hAnsi="Arial"/>
          <w:bCs/>
          <w:iCs/>
          <w:sz w:val="24"/>
          <w:szCs w:val="24"/>
        </w:rPr>
        <w:t>La media delle sedute effettuate per paziente è stata di 32 (</w:t>
      </w:r>
      <w:r>
        <w:rPr>
          <w:rFonts w:cs="Arial" w:ascii="Arial" w:hAnsi="Arial"/>
          <w:bCs/>
          <w:i/>
          <w:iCs/>
          <w:sz w:val="24"/>
          <w:szCs w:val="24"/>
        </w:rPr>
        <w:t>range</w:t>
      </w:r>
      <w:r>
        <w:rPr>
          <w:rFonts w:cs="Arial" w:ascii="Arial" w:hAnsi="Arial"/>
          <w:bCs/>
          <w:iCs/>
          <w:sz w:val="24"/>
          <w:szCs w:val="24"/>
        </w:rPr>
        <w:t xml:space="preserve"> 15 – 40) seguendo la classica cadenza propria dei reparti di radioterapia di cinque sessioni di trattamento giornaliere a settimana.</w:t>
      </w:r>
    </w:p>
    <w:p>
      <w:pPr>
        <w:pStyle w:val="Normal"/>
        <w:spacing w:lineRule="atLeast" w:line="360"/>
        <w:ind w:right="-7" w:firstLine="709"/>
        <w:jc w:val="both"/>
        <w:rPr>
          <w:rFonts w:ascii="Arial" w:hAnsi="Arial" w:cs="Arial"/>
          <w:iCs/>
          <w:sz w:val="24"/>
          <w:szCs w:val="24"/>
        </w:rPr>
      </w:pPr>
      <w:r>
        <w:rPr>
          <w:rFonts w:cs="Arial" w:ascii="Arial" w:hAnsi="Arial"/>
          <w:iCs/>
          <w:sz w:val="24"/>
          <w:szCs w:val="24"/>
        </w:rPr>
        <w:t xml:space="preserve">Nella sezione di </w:t>
      </w:r>
      <w:r>
        <w:rPr>
          <w:rFonts w:cs="Arial" w:ascii="Arial" w:hAnsi="Arial"/>
          <w:i/>
          <w:iCs/>
          <w:sz w:val="24"/>
          <w:szCs w:val="24"/>
        </w:rPr>
        <w:t>imaging</w:t>
      </w:r>
      <w:r>
        <w:rPr>
          <w:rFonts w:cs="Arial" w:ascii="Arial" w:hAnsi="Arial"/>
          <w:iCs/>
          <w:sz w:val="24"/>
          <w:szCs w:val="24"/>
        </w:rPr>
        <w:t xml:space="preserve"> dedicato per la pianificazione dei trattamenti sono state eseguite 408 TAC di simulazione per l’individuazione del volume bersaglio e di controllo del volume trattato (ripianificazione), 170 risonanze magnetiche di centratura complementari che sono serviti per elaborare sinora 225 studi fisico-dosimetrici. La restante attività di </w:t>
      </w:r>
      <w:r>
        <w:rPr>
          <w:rFonts w:cs="Arial" w:ascii="Arial" w:hAnsi="Arial"/>
          <w:i/>
          <w:iCs/>
          <w:sz w:val="24"/>
          <w:szCs w:val="24"/>
        </w:rPr>
        <w:t>imaging</w:t>
      </w:r>
      <w:r>
        <w:rPr>
          <w:rFonts w:cs="Arial" w:ascii="Arial" w:hAnsi="Arial"/>
          <w:iCs/>
          <w:sz w:val="24"/>
          <w:szCs w:val="24"/>
        </w:rPr>
        <w:t xml:space="preserve"> di radiologia (inquadramento diagnostico e </w:t>
      </w:r>
      <w:r>
        <w:rPr>
          <w:rFonts w:cs="Arial" w:ascii="Arial" w:hAnsi="Arial"/>
          <w:i/>
          <w:iCs/>
          <w:sz w:val="24"/>
          <w:szCs w:val="24"/>
        </w:rPr>
        <w:t>follow-up</w:t>
      </w:r>
      <w:r>
        <w:rPr>
          <w:rFonts w:cs="Arial" w:ascii="Arial" w:hAnsi="Arial"/>
          <w:iCs/>
          <w:sz w:val="24"/>
          <w:szCs w:val="24"/>
        </w:rPr>
        <w:t>) e di medicina nucleare è stato effettuato grazie alla collaborazione delle competenti unità operative dell’ospedale Santa Chiara.</w:t>
      </w:r>
    </w:p>
    <w:p>
      <w:pPr>
        <w:pStyle w:val="Normal"/>
        <w:spacing w:lineRule="atLeast" w:line="360"/>
        <w:ind w:right="-7" w:firstLine="709"/>
        <w:jc w:val="both"/>
        <w:rPr>
          <w:rFonts w:ascii="Arial" w:hAnsi="Arial" w:cs="Arial"/>
          <w:iCs/>
          <w:sz w:val="24"/>
          <w:szCs w:val="24"/>
        </w:rPr>
      </w:pPr>
      <w:bookmarkStart w:id="2" w:name="_GoBack"/>
      <w:bookmarkEnd w:id="2"/>
      <w:r>
        <w:rPr>
          <w:rFonts w:cs="Arial" w:ascii="Arial" w:hAnsi="Arial"/>
          <w:iCs/>
          <w:sz w:val="24"/>
          <w:szCs w:val="24"/>
        </w:rPr>
        <w:t xml:space="preserve">I trattamenti sono stati nel complesso ottimamente tollerati non richiedendo sinora interruzioni per tossicità. Si sono resi inoltre necessari 18 ricoveri nelle Unità operative di radioterapia e oncologia dell’ospedale Santa Chiara che garantiscono la continuità assistenziale del paziente. Più difficile una valutazione sugli esiti di malattia essendo il tempo intercorso dalla fine del trattamento ancora non consistente anche se le prime indicazioni permettono di confermare l’efficacia della terapia. </w:t>
      </w:r>
    </w:p>
    <w:p>
      <w:pPr>
        <w:pStyle w:val="Normal"/>
        <w:rPr>
          <w:rFonts w:ascii="Arial" w:hAnsi="Arial" w:cs="Arial"/>
          <w:iCs/>
          <w:sz w:val="24"/>
          <w:szCs w:val="24"/>
        </w:rPr>
      </w:pPr>
      <w:r>
        <w:rPr>
          <w:rFonts w:cs="Arial" w:ascii="Arial" w:hAnsi="Arial"/>
          <w:iCs/>
          <w:sz w:val="24"/>
          <w:szCs w:val="24"/>
        </w:rPr>
      </w:r>
      <w:r>
        <w:br w:type="page"/>
      </w:r>
    </w:p>
    <w:p>
      <w:pPr>
        <w:pStyle w:val="Normal"/>
        <w:spacing w:lineRule="atLeast" w:line="360"/>
        <w:ind w:right="-7" w:firstLine="709"/>
        <w:jc w:val="both"/>
        <w:rPr>
          <w:rFonts w:ascii="Arial" w:hAnsi="Arial" w:cs="Arial"/>
          <w:iCs/>
          <w:sz w:val="24"/>
          <w:szCs w:val="24"/>
        </w:rPr>
      </w:pPr>
      <w:r>
        <w:rPr>
          <w:rFonts w:cs="Arial" w:ascii="Arial" w:hAnsi="Arial"/>
          <w:iCs/>
          <w:sz w:val="24"/>
          <w:szCs w:val="24"/>
        </w:rPr>
      </w:r>
    </w:p>
    <w:p>
      <w:pPr>
        <w:pStyle w:val="Normal"/>
        <w:spacing w:lineRule="atLeast" w:line="360"/>
        <w:ind w:right="-7" w:hanging="0"/>
        <w:jc w:val="both"/>
        <w:rPr>
          <w:rFonts w:ascii="Arial" w:hAnsi="Arial" w:cs="Arial"/>
          <w:b/>
          <w:b/>
          <w:bCs/>
          <w:iCs/>
          <w:sz w:val="24"/>
          <w:szCs w:val="24"/>
        </w:rPr>
      </w:pPr>
      <w:r>
        <w:rPr>
          <w:rFonts w:cs="Arial" w:ascii="Arial" w:hAnsi="Arial"/>
          <w:b/>
          <w:bCs/>
          <w:iCs/>
          <w:sz w:val="24"/>
          <w:szCs w:val="24"/>
        </w:rPr>
        <w:t>Centro di protonterapia di Trento</w:t>
      </w:r>
    </w:p>
    <w:p>
      <w:pPr>
        <w:pStyle w:val="Normal"/>
        <w:spacing w:lineRule="atLeast" w:line="360"/>
        <w:ind w:right="-7" w:hanging="0"/>
        <w:jc w:val="both"/>
        <w:rPr>
          <w:rFonts w:ascii="Arial" w:hAnsi="Arial" w:cs="Arial"/>
          <w:bCs/>
          <w:iCs/>
          <w:sz w:val="24"/>
          <w:szCs w:val="24"/>
        </w:rPr>
      </w:pPr>
      <w:r>
        <w:rPr>
          <w:rFonts w:cs="Arial" w:ascii="Arial" w:hAnsi="Arial"/>
          <w:bCs/>
          <w:iCs/>
          <w:sz w:val="24"/>
          <w:szCs w:val="24"/>
        </w:rPr>
        <w:t>Il Centro è una Unità operativa dell’ospedale di Trento, si trova in via Al Desert 14 a Trento. È aperto dal lunedì al venerdì dalle ore 8.30 alle ore 16.</w:t>
      </w:r>
    </w:p>
    <w:p>
      <w:pPr>
        <w:pStyle w:val="Normal"/>
        <w:spacing w:lineRule="atLeast" w:line="360"/>
        <w:ind w:right="-7" w:hanging="0"/>
        <w:jc w:val="both"/>
        <w:rPr>
          <w:rFonts w:ascii="Arial" w:hAnsi="Arial" w:cs="Arial"/>
          <w:bCs/>
          <w:iCs/>
          <w:sz w:val="24"/>
          <w:szCs w:val="24"/>
        </w:rPr>
      </w:pPr>
      <w:r>
        <w:rPr>
          <w:rFonts w:cs="Arial" w:ascii="Arial" w:hAnsi="Arial"/>
          <w:bCs/>
          <w:iCs/>
          <w:sz w:val="24"/>
          <w:szCs w:val="24"/>
        </w:rPr>
        <w:t>telefono segreteria: 0039 0461 1953100 - 0039 0461 1953101 - 0039 0461 1953115</w:t>
      </w:r>
    </w:p>
    <w:p>
      <w:pPr>
        <w:pStyle w:val="Normal"/>
        <w:spacing w:lineRule="atLeast" w:line="360"/>
        <w:ind w:right="-7" w:hanging="0"/>
        <w:jc w:val="both"/>
        <w:rPr/>
      </w:pPr>
      <w:r>
        <w:rPr>
          <w:rFonts w:cs="Arial" w:ascii="Arial" w:hAnsi="Arial"/>
          <w:bCs/>
          <w:iCs/>
          <w:sz w:val="24"/>
          <w:szCs w:val="24"/>
        </w:rPr>
        <w:t xml:space="preserve">e-mail: </w:t>
      </w:r>
      <w:hyperlink r:id="rId4">
        <w:r>
          <w:rPr>
            <w:rStyle w:val="CollegamentoInternet"/>
            <w:rFonts w:cs="Arial" w:ascii="Arial" w:hAnsi="Arial"/>
            <w:bCs/>
            <w:iCs/>
            <w:sz w:val="24"/>
            <w:szCs w:val="24"/>
          </w:rPr>
          <w:t>protonterapia@apss.tn.it</w:t>
        </w:r>
      </w:hyperlink>
      <w:r>
        <w:rPr>
          <w:rFonts w:cs="Arial" w:ascii="Arial" w:hAnsi="Arial"/>
          <w:bCs/>
          <w:iCs/>
          <w:sz w:val="24"/>
          <w:szCs w:val="24"/>
        </w:rPr>
        <w:t xml:space="preserve"> </w:t>
      </w:r>
    </w:p>
    <w:p>
      <w:pPr>
        <w:pStyle w:val="Normal"/>
        <w:spacing w:lineRule="atLeast" w:line="360"/>
        <w:ind w:right="-7" w:hanging="0"/>
        <w:jc w:val="both"/>
        <w:rPr/>
      </w:pPr>
      <w:r>
        <w:rPr>
          <w:rFonts w:cs="Arial" w:ascii="Arial" w:hAnsi="Arial"/>
          <w:bCs/>
          <w:iCs/>
          <w:sz w:val="24"/>
          <w:szCs w:val="24"/>
          <w:lang w:val="en-US"/>
        </w:rPr>
        <w:t xml:space="preserve">sito web: </w:t>
      </w:r>
      <w:hyperlink r:id="rId5">
        <w:r>
          <w:rPr>
            <w:rStyle w:val="CollegamentoInternet"/>
            <w:rFonts w:cs="Arial" w:ascii="Arial" w:hAnsi="Arial"/>
            <w:bCs/>
            <w:iCs/>
            <w:sz w:val="24"/>
            <w:szCs w:val="24"/>
            <w:lang w:val="en-US"/>
          </w:rPr>
          <w:t>www.protonterapia.provincia.tn.it</w:t>
        </w:r>
      </w:hyperlink>
      <w:r>
        <w:rPr>
          <w:rFonts w:cs="Arial" w:ascii="Arial" w:hAnsi="Arial"/>
          <w:bCs/>
          <w:iCs/>
          <w:sz w:val="24"/>
          <w:szCs w:val="24"/>
          <w:lang w:val="en-US"/>
        </w:rPr>
        <w:t xml:space="preserve"> </w:t>
      </w:r>
    </w:p>
    <w:p>
      <w:pPr>
        <w:pStyle w:val="Normal"/>
        <w:spacing w:lineRule="atLeast" w:line="360"/>
        <w:ind w:right="-7" w:hanging="0"/>
        <w:jc w:val="both"/>
        <w:rPr>
          <w:rFonts w:ascii="Arial" w:hAnsi="Arial" w:cs="Arial"/>
          <w:bCs/>
          <w:iCs/>
          <w:sz w:val="24"/>
          <w:szCs w:val="24"/>
          <w:lang w:val="en-US"/>
        </w:rPr>
      </w:pPr>
      <w:r>
        <w:rPr>
          <w:rFonts w:cs="Arial" w:ascii="Arial" w:hAnsi="Arial"/>
          <w:bCs/>
          <w:iCs/>
          <w:sz w:val="24"/>
          <w:szCs w:val="24"/>
          <w:lang w:val="en-US"/>
        </w:rPr>
      </w:r>
    </w:p>
    <w:p>
      <w:pPr>
        <w:pStyle w:val="Normal"/>
        <w:spacing w:lineRule="atLeast" w:line="360"/>
        <w:ind w:right="-7" w:hanging="0"/>
        <w:jc w:val="both"/>
        <w:rPr>
          <w:rFonts w:ascii="Arial" w:hAnsi="Arial" w:cs="Arial"/>
          <w:bCs/>
          <w:iCs/>
          <w:sz w:val="24"/>
          <w:szCs w:val="24"/>
        </w:rPr>
      </w:pPr>
      <w:r>
        <w:rPr>
          <w:rFonts w:cs="Arial" w:ascii="Arial" w:hAnsi="Arial"/>
          <w:bCs/>
          <w:iCs/>
          <w:sz w:val="24"/>
          <w:szCs w:val="24"/>
        </w:rPr>
        <w:t>L'équipe del Centro di protonterapia è formata dai seguenti professionisti, coadiuvati per le attività di anestesia, da professionisti dell'Unità operativa di anestesia e rianimazione 1 dell'Ospedale Santa Chiara di Trento:</w:t>
      </w:r>
    </w:p>
    <w:p>
      <w:pPr>
        <w:pStyle w:val="Normal"/>
        <w:spacing w:lineRule="atLeast" w:line="360"/>
        <w:ind w:right="-7" w:hanging="0"/>
        <w:jc w:val="both"/>
        <w:rPr>
          <w:rFonts w:ascii="Arial" w:hAnsi="Arial" w:cs="Arial"/>
          <w:b/>
          <w:b/>
          <w:bCs/>
          <w:iCs/>
          <w:sz w:val="24"/>
          <w:szCs w:val="24"/>
        </w:rPr>
      </w:pPr>
      <w:r>
        <w:rPr>
          <w:rFonts w:cs="Arial" w:ascii="Arial" w:hAnsi="Arial"/>
          <w:b/>
          <w:bCs/>
          <w:iCs/>
          <w:sz w:val="24"/>
          <w:szCs w:val="24"/>
        </w:rPr>
        <w:t>oncologo radioterapista</w:t>
      </w:r>
    </w:p>
    <w:p>
      <w:pPr>
        <w:pStyle w:val="Normal"/>
        <w:spacing w:lineRule="atLeast" w:line="360"/>
        <w:ind w:right="-7" w:hanging="0"/>
        <w:jc w:val="both"/>
        <w:rPr>
          <w:rFonts w:ascii="Arial" w:hAnsi="Arial" w:cs="Arial"/>
          <w:bCs/>
          <w:iCs/>
          <w:sz w:val="24"/>
          <w:szCs w:val="24"/>
        </w:rPr>
      </w:pPr>
      <w:r>
        <w:rPr>
          <w:rFonts w:cs="Arial" w:ascii="Arial" w:hAnsi="Arial"/>
          <w:bCs/>
          <w:iCs/>
          <w:sz w:val="24"/>
          <w:szCs w:val="24"/>
        </w:rPr>
        <w:t>è un medico specializzato in radioterapia oncologica, cioè nello studio dei tumori e nella loro cura con l’impiego di radiazioni ionizzanti.</w:t>
      </w:r>
    </w:p>
    <w:p>
      <w:pPr>
        <w:pStyle w:val="Normal"/>
        <w:spacing w:lineRule="atLeast" w:line="360"/>
        <w:ind w:right="-7" w:hanging="0"/>
        <w:jc w:val="both"/>
        <w:rPr>
          <w:rFonts w:ascii="Arial" w:hAnsi="Arial" w:cs="Arial"/>
          <w:b/>
          <w:b/>
          <w:bCs/>
          <w:iCs/>
          <w:sz w:val="24"/>
          <w:szCs w:val="24"/>
        </w:rPr>
      </w:pPr>
      <w:r>
        <w:rPr>
          <w:rFonts w:cs="Arial" w:ascii="Arial" w:hAnsi="Arial"/>
          <w:b/>
          <w:bCs/>
          <w:iCs/>
          <w:sz w:val="24"/>
          <w:szCs w:val="24"/>
        </w:rPr>
        <w:t>fisico sanitario</w:t>
      </w:r>
    </w:p>
    <w:p>
      <w:pPr>
        <w:pStyle w:val="Normal"/>
        <w:spacing w:lineRule="atLeast" w:line="360"/>
        <w:ind w:right="-7" w:hanging="0"/>
        <w:jc w:val="both"/>
        <w:rPr>
          <w:rFonts w:ascii="Arial" w:hAnsi="Arial" w:cs="Arial"/>
          <w:bCs/>
          <w:iCs/>
          <w:sz w:val="24"/>
          <w:szCs w:val="24"/>
        </w:rPr>
      </w:pPr>
      <w:r>
        <w:rPr>
          <w:rFonts w:cs="Arial" w:ascii="Arial" w:hAnsi="Arial"/>
          <w:bCs/>
          <w:iCs/>
          <w:sz w:val="24"/>
          <w:szCs w:val="24"/>
        </w:rPr>
        <w:t>è un dottore in fisica con specializzazione nell’impiego delle radiazioni in ambito sanitario.</w:t>
      </w:r>
    </w:p>
    <w:p>
      <w:pPr>
        <w:pStyle w:val="Normal"/>
        <w:spacing w:lineRule="atLeast" w:line="360"/>
        <w:ind w:right="-7" w:hanging="0"/>
        <w:jc w:val="both"/>
        <w:rPr>
          <w:rFonts w:ascii="Arial" w:hAnsi="Arial" w:cs="Arial"/>
          <w:b/>
          <w:b/>
          <w:bCs/>
          <w:iCs/>
          <w:sz w:val="24"/>
          <w:szCs w:val="24"/>
        </w:rPr>
      </w:pPr>
      <w:r>
        <w:rPr>
          <w:rFonts w:cs="Arial" w:ascii="Arial" w:hAnsi="Arial"/>
          <w:b/>
          <w:bCs/>
          <w:iCs/>
          <w:sz w:val="24"/>
          <w:szCs w:val="24"/>
        </w:rPr>
        <w:t>tecnico sanitario di radiologia medica (TSRM)</w:t>
      </w:r>
    </w:p>
    <w:p>
      <w:pPr>
        <w:pStyle w:val="Normal"/>
        <w:spacing w:lineRule="atLeast" w:line="360"/>
        <w:ind w:right="-7" w:hanging="0"/>
        <w:jc w:val="both"/>
        <w:rPr>
          <w:rFonts w:ascii="Arial" w:hAnsi="Arial" w:cs="Arial"/>
          <w:bCs/>
          <w:iCs/>
          <w:sz w:val="24"/>
          <w:szCs w:val="24"/>
        </w:rPr>
      </w:pPr>
      <w:r>
        <w:rPr>
          <w:rFonts w:cs="Arial" w:ascii="Arial" w:hAnsi="Arial"/>
          <w:bCs/>
          <w:iCs/>
          <w:sz w:val="24"/>
          <w:szCs w:val="24"/>
        </w:rPr>
        <w:t>è una figura professionale laureata in Tecniche di Radiologia Medica che collabora all’esecuzione del trattamento: preparazione, pianificazione, esami radiologici e sedute di terapia.</w:t>
      </w:r>
    </w:p>
    <w:p>
      <w:pPr>
        <w:pStyle w:val="Normal"/>
        <w:spacing w:lineRule="atLeast" w:line="360"/>
        <w:ind w:right="-7" w:hanging="0"/>
        <w:jc w:val="both"/>
        <w:rPr>
          <w:rFonts w:ascii="Arial" w:hAnsi="Arial" w:cs="Arial"/>
          <w:b/>
          <w:b/>
          <w:bCs/>
          <w:iCs/>
          <w:sz w:val="24"/>
          <w:szCs w:val="24"/>
        </w:rPr>
      </w:pPr>
      <w:r>
        <w:rPr>
          <w:rFonts w:cs="Arial" w:ascii="Arial" w:hAnsi="Arial"/>
          <w:b/>
          <w:bCs/>
          <w:iCs/>
          <w:sz w:val="24"/>
          <w:szCs w:val="24"/>
        </w:rPr>
        <w:t>infermiere di radioterapia</w:t>
      </w:r>
    </w:p>
    <w:p>
      <w:pPr>
        <w:pStyle w:val="Normal"/>
        <w:spacing w:lineRule="atLeast" w:line="360"/>
        <w:ind w:right="-7" w:hanging="0"/>
        <w:jc w:val="both"/>
        <w:rPr>
          <w:rFonts w:ascii="Arial" w:hAnsi="Arial" w:cs="Arial"/>
          <w:bCs/>
          <w:iCs/>
          <w:sz w:val="24"/>
          <w:szCs w:val="24"/>
        </w:rPr>
      </w:pPr>
      <w:r>
        <w:rPr>
          <w:rFonts w:cs="Arial" w:ascii="Arial" w:hAnsi="Arial"/>
          <w:bCs/>
          <w:iCs/>
          <w:sz w:val="24"/>
          <w:szCs w:val="24"/>
        </w:rPr>
        <w:t>è un infermiere con specifiche competenze nella cura dei pazienti sottoposti a radioterapia/protonterapia.</w:t>
      </w:r>
    </w:p>
    <w:p>
      <w:pPr>
        <w:pStyle w:val="Normal"/>
        <w:spacing w:lineRule="atLeast" w:line="360"/>
        <w:ind w:right="-7" w:hanging="0"/>
        <w:jc w:val="both"/>
        <w:rPr>
          <w:rFonts w:ascii="Arial" w:hAnsi="Arial" w:cs="Arial"/>
          <w:b/>
          <w:b/>
          <w:bCs/>
          <w:iCs/>
          <w:sz w:val="24"/>
          <w:szCs w:val="24"/>
        </w:rPr>
      </w:pPr>
      <w:r>
        <w:rPr>
          <w:rFonts w:cs="Arial" w:ascii="Arial" w:hAnsi="Arial"/>
          <w:b/>
          <w:bCs/>
          <w:iCs/>
          <w:sz w:val="24"/>
          <w:szCs w:val="24"/>
        </w:rPr>
        <w:t>personale amministrativo</w:t>
      </w:r>
    </w:p>
    <w:p>
      <w:pPr>
        <w:pStyle w:val="Normal"/>
        <w:spacing w:lineRule="atLeast" w:line="360"/>
        <w:ind w:right="-7" w:hanging="0"/>
        <w:jc w:val="both"/>
        <w:rPr/>
      </w:pPr>
      <w:r>
        <w:rPr>
          <w:rFonts w:cs="Arial" w:ascii="Arial" w:hAnsi="Arial"/>
          <w:bCs/>
          <w:iCs/>
          <w:sz w:val="24"/>
          <w:szCs w:val="24"/>
        </w:rPr>
        <w:t>si occupa dell'accoglienza e accettazione amministrativa dei pazienti.</w:t>
      </w:r>
    </w:p>
    <w:p>
      <w:pPr>
        <w:pStyle w:val="Normal"/>
        <w:spacing w:lineRule="atLeast" w:line="360"/>
        <w:ind w:right="-7" w:hanging="0"/>
        <w:jc w:val="both"/>
        <w:rPr>
          <w:rFonts w:ascii="Arial" w:hAnsi="Arial" w:cs="Arial"/>
          <w:bCs/>
          <w:iCs/>
          <w:sz w:val="24"/>
          <w:szCs w:val="24"/>
        </w:rPr>
      </w:pPr>
      <w:r>
        <w:rPr/>
      </w:r>
    </w:p>
    <w:p>
      <w:pPr>
        <w:pStyle w:val="Normal"/>
        <w:spacing w:lineRule="atLeast" w:line="360"/>
        <w:ind w:right="-7" w:hanging="0"/>
        <w:jc w:val="both"/>
        <w:rPr>
          <w:b/>
          <w:b/>
          <w:bCs/>
        </w:rPr>
      </w:pPr>
      <w:r>
        <w:rPr>
          <w:rFonts w:cs="Arial" w:ascii="Arial" w:hAnsi="Arial"/>
          <w:b/>
          <w:bCs/>
          <w:iCs/>
          <w:sz w:val="24"/>
          <w:szCs w:val="24"/>
        </w:rPr>
        <w:t>In internet: https://www.apss.tn.it/protonterapia</w:t>
      </w:r>
    </w:p>
    <w:p>
      <w:pPr>
        <w:pStyle w:val="Normal"/>
        <w:spacing w:lineRule="atLeast" w:line="360"/>
        <w:ind w:right="-7" w:hanging="0"/>
        <w:jc w:val="both"/>
        <w:rPr>
          <w:rFonts w:ascii="Arial" w:hAnsi="Arial" w:cs="Arial"/>
          <w:bCs/>
          <w:iCs/>
          <w:sz w:val="24"/>
          <w:szCs w:val="24"/>
        </w:rPr>
      </w:pPr>
      <w:r>
        <w:rPr>
          <w:rFonts w:cs="Arial" w:ascii="Arial" w:hAnsi="Arial"/>
          <w:bCs/>
          <w:iCs/>
          <w:sz w:val="24"/>
          <w:szCs w:val="24"/>
        </w:rPr>
      </w:r>
    </w:p>
    <w:p>
      <w:pPr>
        <w:pStyle w:val="Normal"/>
        <w:spacing w:lineRule="atLeast" w:line="360"/>
        <w:ind w:right="-7" w:firstLine="709"/>
        <w:jc w:val="both"/>
        <w:rPr/>
      </w:pPr>
      <w:r>
        <w:rPr/>
      </w:r>
    </w:p>
    <w:sectPr>
      <w:headerReference w:type="default" r:id="rId6"/>
      <w:headerReference w:type="first" r:id="rId7"/>
      <w:footerReference w:type="default" r:id="rId8"/>
      <w:footerReference w:type="first" r:id="rId9"/>
      <w:type w:val="nextPage"/>
      <w:pgSz w:w="11906" w:h="16838"/>
      <w:pgMar w:left="851" w:right="851" w:header="567" w:top="2268" w:footer="567" w:bottom="2268" w:gutter="0"/>
      <w:pgNumType w:fmt="decimal"/>
      <w:formProt w:val="false"/>
      <w:titlePg/>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Century Gothic">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 w:name="Swis721 BlkRnd BT">
    <w:charset w:val="00"/>
    <w:family w:val="roman"/>
    <w:pitch w:val="variable"/>
  </w:font>
  <w:font w:name="Helvetica">
    <w:altName w:val="Arial"/>
    <w:charset w:val="00"/>
    <w:family w:val="roman"/>
    <w:pitch w:val="variable"/>
  </w:font>
  <w:font w:name="Gautam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bottom w:val="single" w:sz="12" w:space="1" w:color="00000A"/>
      </w:pBdr>
      <w:tabs>
        <w:tab w:val="left" w:pos="8640" w:leader="none"/>
      </w:tabs>
      <w:spacing w:before="0" w:after="120"/>
      <w:ind w:right="36" w:hanging="0"/>
      <w:jc w:val="right"/>
      <w:rPr>
        <w:rFonts w:ascii="Gautami" w:hAnsi="Gautami" w:cs="Gautami"/>
        <w:sz w:val="18"/>
        <w:szCs w:val="18"/>
      </w:rPr>
    </w:pPr>
    <w:r>
      <w:rPr/>
      <w:drawing>
        <wp:inline distT="0" distB="0" distL="19050" distR="9525">
          <wp:extent cx="1038225" cy="571500"/>
          <wp:effectExtent l="0" t="0" r="0" b="0"/>
          <wp:docPr id="3" name="Immagine 1" descr="Logo_EFQM_Recog Excel 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Logo_EFQM_Recog Excel 5_RGB"/>
                  <pic:cNvPicPr>
                    <a:picLocks noChangeAspect="1" noChangeArrowheads="1"/>
                  </pic:cNvPicPr>
                </pic:nvPicPr>
                <pic:blipFill>
                  <a:blip r:embed="rId3"/>
                  <a:stretch>
                    <a:fillRect/>
                  </a:stretch>
                </pic:blipFill>
                <pic:spPr bwMode="auto">
                  <a:xfrm>
                    <a:off x="0" y="0"/>
                    <a:ext cx="1038225" cy="571500"/>
                  </a:xfrm>
                  <a:prstGeom prst="rect">
                    <a:avLst/>
                  </a:prstGeom>
                </pic:spPr>
              </pic:pic>
            </a:graphicData>
          </a:graphic>
        </wp:inline>
      </w:drawing>
      <mc:AlternateContent>
        <mc:Choice Requires="wpg">
          <w:drawing>
            <wp:anchor behindDoc="1" distT="0" distB="0" distL="114300" distR="114300" simplePos="0" locked="0" layoutInCell="1" allowOverlap="1" relativeHeight="4">
              <wp:simplePos x="0" y="0"/>
              <wp:positionH relativeFrom="column">
                <wp:posOffset>-16510</wp:posOffset>
              </wp:positionH>
              <wp:positionV relativeFrom="paragraph">
                <wp:posOffset>-6985</wp:posOffset>
              </wp:positionV>
              <wp:extent cx="1422400" cy="495935"/>
              <wp:effectExtent l="0" t="0" r="0" b="0"/>
              <wp:wrapNone/>
              <wp:docPr id="2" name="Group 5"/>
              <a:graphic xmlns:a="http://schemas.openxmlformats.org/drawingml/2006/main">
                <a:graphicData uri="http://schemas.microsoft.com/office/word/2010/wordprocessingGroup">
                  <wpg:wgp>
                    <wpg:cNvGrpSpPr/>
                    <wpg:grpSpPr>
                      <a:xfrm>
                        <a:off x="0" y="0"/>
                        <a:ext cx="1421640" cy="495360"/>
                      </a:xfrm>
                    </wpg:grpSpPr>
                    <wps:wsp>
                      <wps:cNvSpPr/>
                      <wps:spPr>
                        <a:xfrm>
                          <a:off x="0" y="437040"/>
                          <a:ext cx="1383840" cy="5832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jc w:val="center"/>
                              <w:rPr/>
                            </w:pPr>
                            <w:r>
                              <w:rPr>
                                <w:sz w:val="8"/>
                              </w:rPr>
                              <w:t>Azienda con sistema di gestione certificato BS OHSAS 18001:2007</w:t>
                            </w:r>
                          </w:p>
                        </w:txbxContent>
                      </wps:txbx>
                      <wps:bodyPr lIns="0" rIns="0" tIns="0" bIns="0">
                        <a:spAutoFit/>
                      </wps:bodyPr>
                    </wps:wsp>
                    <pic:pic xmlns:pic="http://schemas.openxmlformats.org/drawingml/2006/picture">
                      <pic:nvPicPr>
                        <pic:cNvPr id="0" name="Picture 7" descr=""/>
                        <pic:cNvPicPr/>
                      </pic:nvPicPr>
                      <pic:blipFill>
                        <a:blip r:embed="rId1"/>
                        <a:srcRect l="17192" t="33666" r="17192" b="33666"/>
                        <a:stretch/>
                      </pic:blipFill>
                      <pic:spPr>
                        <a:xfrm>
                          <a:off x="344160" y="50760"/>
                          <a:ext cx="1077480" cy="380520"/>
                        </a:xfrm>
                        <a:prstGeom prst="rect">
                          <a:avLst/>
                        </a:prstGeom>
                        <a:ln>
                          <a:noFill/>
                        </a:ln>
                      </pic:spPr>
                    </pic:pic>
                    <pic:pic xmlns:pic="http://schemas.openxmlformats.org/drawingml/2006/picture">
                      <pic:nvPicPr>
                        <pic:cNvPr id="1" name="Picture 8" descr=""/>
                        <pic:cNvPicPr/>
                      </pic:nvPicPr>
                      <pic:blipFill>
                        <a:blip r:embed="rId2"/>
                        <a:stretch/>
                      </pic:blipFill>
                      <pic:spPr>
                        <a:xfrm>
                          <a:off x="720" y="0"/>
                          <a:ext cx="349200" cy="432360"/>
                        </a:xfrm>
                        <a:prstGeom prst="rect">
                          <a:avLst/>
                        </a:prstGeom>
                        <a:ln>
                          <a:noFill/>
                        </a:ln>
                      </pic:spPr>
                    </pic:pic>
                  </wpg:wgp>
                </a:graphicData>
              </a:graphic>
            </wp:anchor>
          </w:drawing>
        </mc:Choice>
        <mc:Fallback>
          <w:pict>
            <v:group id="shape_0" alt="Group 5" style="position:absolute;margin-left:-1.3pt;margin-top:-0.55pt;width:111.95pt;height:39.05pt" coordorigin="-26,-11" coordsize="2239,781">
              <v:shapetype id="shapetype_202" coordsize="21600,21600" o:spt="202" path="m,l,21600l21600,21600l21600,xe">
                <v:stroke joinstyle="miter"/>
                <v:path gradientshapeok="t" o:connecttype="rect"/>
              </v:shapetype>
              <v:shape id="shape_0" ID="Text Box 6" stroked="f" style="position:absolute;left:-26;top:677;width:2178;height:91" type="shapetype_202">
                <v:textbox>
                  <w:txbxContent>
                    <w:p>
                      <w:pPr>
                        <w:overflowPunct w:val="false"/>
                        <w:jc w:val="center"/>
                        <w:rPr/>
                      </w:pPr>
                      <w:r>
                        <w:rPr>
                          <w:sz w:val="8"/>
                        </w:rPr>
                        <w:t>Azienda con sistema di gestione certificato BS OHSAS 18001:2007</w:t>
                      </w:r>
                    </w:p>
                  </w:txbxContent>
                </v:textbox>
                <w10:wrap type="none"/>
                <v:fill o:detectmouseclick="t" on="false"/>
                <v:stroke color="#3465a4" joinstyle="round" endcap="flat"/>
              </v:shape>
              <v:rect id="shape_0" ID="Picture 7" stroked="f" style="position:absolute;left:516;top:69;width:1696;height:598">
                <v:imagedata r:id="rId1" o:detectmouseclick="t"/>
                <w10:wrap type="none"/>
                <v:stroke color="#3465a4" joinstyle="round" endcap="flat"/>
              </v:rect>
              <v:rect id="shape_0" ID="Picture 8" stroked="f" style="position:absolute;left:-25;top:-11;width:549;height:680">
                <v:imagedata r:id="rId2" o:detectmouseclick="t"/>
                <w10:wrap type="none"/>
                <v:stroke color="#3465a4" joinstyle="round" endcap="flat"/>
              </v:rect>
            </v:group>
          </w:pict>
        </mc:Fallback>
      </mc:AlternateContent>
    </w:r>
  </w:p>
  <w:p>
    <w:pPr>
      <w:pStyle w:val="Pidipagina"/>
      <w:tabs>
        <w:tab w:val="left" w:pos="8640" w:leader="none"/>
      </w:tabs>
      <w:ind w:right="36" w:hanging="0"/>
      <w:rPr/>
    </w:pPr>
    <w:r>
      <w:rPr>
        <w:rFonts w:cs="Gautami" w:ascii="Gautami" w:hAnsi="Gautami"/>
        <w:i/>
        <w:sz w:val="18"/>
        <w:szCs w:val="18"/>
      </w:rPr>
      <w:t xml:space="preserve">Via Degasperi 79, Trento — tel. 0461 904171 </w:t>
    </w:r>
    <w:hyperlink r:id="rId4">
      <w:r>
        <w:rPr>
          <w:rStyle w:val="CollegamentoInternet"/>
          <w:rFonts w:cs="Gautami" w:ascii="Gautami" w:hAnsi="Gautami"/>
          <w:i/>
          <w:sz w:val="18"/>
          <w:szCs w:val="18"/>
          <w:lang w:val="fr-FR"/>
        </w:rPr>
        <w:t>http://www.apss.tn.it</w:t>
      </w:r>
    </w:hyperlink>
    <w:r>
      <w:rPr>
        <w:rFonts w:cs="Gautami" w:ascii="Gautami" w:hAnsi="Gautami"/>
        <w:sz w:val="18"/>
        <w:szCs w:val="18"/>
        <w:lang w:val="fr-FR"/>
      </w:rPr>
      <w:t xml:space="preserve"> — email: </w:t>
    </w:r>
    <w:hyperlink r:id="rId5">
      <w:r>
        <w:rPr>
          <w:rStyle w:val="CollegamentoInternet"/>
          <w:rFonts w:cs="Gautami" w:ascii="Gautami" w:hAnsi="Gautami"/>
          <w:i/>
          <w:sz w:val="18"/>
          <w:szCs w:val="18"/>
        </w:rPr>
        <w:t>servizio.comunicazione@apss.tn.it</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bottom w:val="single" w:sz="12" w:space="1" w:color="00000A"/>
      </w:pBdr>
      <w:tabs>
        <w:tab w:val="left" w:pos="8640" w:leader="none"/>
      </w:tabs>
      <w:spacing w:before="0" w:after="120"/>
      <w:ind w:right="36" w:hanging="0"/>
      <w:jc w:val="right"/>
      <w:rPr>
        <w:rFonts w:ascii="Gautami" w:hAnsi="Gautami" w:cs="Gautami"/>
        <w:sz w:val="18"/>
        <w:szCs w:val="18"/>
      </w:rPr>
    </w:pPr>
    <w:r>
      <w:rPr/>
      <w:drawing>
        <wp:inline distT="0" distB="0" distL="19050" distR="9525">
          <wp:extent cx="1038225" cy="571500"/>
          <wp:effectExtent l="0" t="0" r="0" b="0"/>
          <wp:docPr id="5" name="Immagine3" descr="Logo_EFQM_Recog Excel 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descr="Logo_EFQM_Recog Excel 5_RGB"/>
                  <pic:cNvPicPr>
                    <a:picLocks noChangeAspect="1" noChangeArrowheads="1"/>
                  </pic:cNvPicPr>
                </pic:nvPicPr>
                <pic:blipFill>
                  <a:blip r:embed="rId3"/>
                  <a:stretch>
                    <a:fillRect/>
                  </a:stretch>
                </pic:blipFill>
                <pic:spPr bwMode="auto">
                  <a:xfrm>
                    <a:off x="0" y="0"/>
                    <a:ext cx="1038225" cy="571500"/>
                  </a:xfrm>
                  <a:prstGeom prst="rect">
                    <a:avLst/>
                  </a:prstGeom>
                </pic:spPr>
              </pic:pic>
            </a:graphicData>
          </a:graphic>
        </wp:inline>
      </w:drawing>
      <mc:AlternateContent>
        <mc:Choice Requires="wpg">
          <w:drawing>
            <wp:anchor behindDoc="1" distT="0" distB="0" distL="114300" distR="114300" simplePos="0" locked="0" layoutInCell="1" allowOverlap="1" relativeHeight="7">
              <wp:simplePos x="0" y="0"/>
              <wp:positionH relativeFrom="column">
                <wp:posOffset>-16510</wp:posOffset>
              </wp:positionH>
              <wp:positionV relativeFrom="paragraph">
                <wp:posOffset>-6985</wp:posOffset>
              </wp:positionV>
              <wp:extent cx="1422400" cy="495935"/>
              <wp:effectExtent l="0" t="0" r="0" b="0"/>
              <wp:wrapNone/>
              <wp:docPr id="4" name="Group 1"/>
              <a:graphic xmlns:a="http://schemas.openxmlformats.org/drawingml/2006/main">
                <a:graphicData uri="http://schemas.microsoft.com/office/word/2010/wordprocessingGroup">
                  <wpg:wgp>
                    <wpg:cNvGrpSpPr/>
                    <wpg:grpSpPr>
                      <a:xfrm>
                        <a:off x="0" y="0"/>
                        <a:ext cx="1421640" cy="495360"/>
                      </a:xfrm>
                    </wpg:grpSpPr>
                    <wps:wsp>
                      <wps:cNvSpPr/>
                      <wps:spPr>
                        <a:xfrm>
                          <a:off x="0" y="437040"/>
                          <a:ext cx="1383840" cy="5832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jc w:val="center"/>
                              <w:rPr/>
                            </w:pPr>
                            <w:r>
                              <w:rPr>
                                <w:sz w:val="8"/>
                              </w:rPr>
                              <w:t>Azienda con sistema di gestione certificato BS OHSAS 18001:2007</w:t>
                            </w:r>
                          </w:p>
                        </w:txbxContent>
                      </wps:txbx>
                      <wps:bodyPr lIns="0" rIns="0" tIns="0" bIns="0">
                        <a:spAutoFit/>
                      </wps:bodyPr>
                    </wps:wsp>
                    <pic:pic xmlns:pic="http://schemas.openxmlformats.org/drawingml/2006/picture">
                      <pic:nvPicPr>
                        <pic:cNvPr id="2" name="Picture 3" descr=""/>
                        <pic:cNvPicPr/>
                      </pic:nvPicPr>
                      <pic:blipFill>
                        <a:blip r:embed="rId1"/>
                        <a:srcRect l="17192" t="33666" r="17192" b="33666"/>
                        <a:stretch/>
                      </pic:blipFill>
                      <pic:spPr>
                        <a:xfrm>
                          <a:off x="344160" y="50760"/>
                          <a:ext cx="1077480" cy="380520"/>
                        </a:xfrm>
                        <a:prstGeom prst="rect">
                          <a:avLst/>
                        </a:prstGeom>
                        <a:ln>
                          <a:noFill/>
                        </a:ln>
                      </pic:spPr>
                    </pic:pic>
                    <pic:pic xmlns:pic="http://schemas.openxmlformats.org/drawingml/2006/picture">
                      <pic:nvPicPr>
                        <pic:cNvPr id="3" name="Picture 4" descr=""/>
                        <pic:cNvPicPr/>
                      </pic:nvPicPr>
                      <pic:blipFill>
                        <a:blip r:embed="rId2"/>
                        <a:stretch/>
                      </pic:blipFill>
                      <pic:spPr>
                        <a:xfrm>
                          <a:off x="720" y="0"/>
                          <a:ext cx="349200" cy="432360"/>
                        </a:xfrm>
                        <a:prstGeom prst="rect">
                          <a:avLst/>
                        </a:prstGeom>
                        <a:ln>
                          <a:noFill/>
                        </a:ln>
                      </pic:spPr>
                    </pic:pic>
                  </wpg:wgp>
                </a:graphicData>
              </a:graphic>
            </wp:anchor>
          </w:drawing>
        </mc:Choice>
        <mc:Fallback>
          <w:pict>
            <v:group id="shape_0" alt="Group 1" style="position:absolute;margin-left:-1.3pt;margin-top:-0.55pt;width:111.95pt;height:39.05pt" coordorigin="-26,-11" coordsize="2239,781">
              <v:shape id="shape_0" ID="Text Box 2" stroked="f" style="position:absolute;left:-26;top:677;width:2178;height:91" type="shapetype_202">
                <v:textbox>
                  <w:txbxContent>
                    <w:p>
                      <w:pPr>
                        <w:overflowPunct w:val="false"/>
                        <w:jc w:val="center"/>
                        <w:rPr/>
                      </w:pPr>
                      <w:r>
                        <w:rPr>
                          <w:sz w:val="8"/>
                        </w:rPr>
                        <w:t>Azienda con sistema di gestione certificato BS OHSAS 18001:2007</w:t>
                      </w:r>
                    </w:p>
                  </w:txbxContent>
                </v:textbox>
                <w10:wrap type="none"/>
                <v:fill o:detectmouseclick="t" on="false"/>
                <v:stroke color="#3465a4" joinstyle="round" endcap="flat"/>
              </v:shape>
              <v:rect id="shape_0" ID="Picture 3" stroked="f" style="position:absolute;left:516;top:69;width:1696;height:598">
                <v:imagedata r:id="rId1" o:detectmouseclick="t"/>
                <w10:wrap type="none"/>
                <v:stroke color="#3465a4" joinstyle="round" endcap="flat"/>
              </v:rect>
              <v:rect id="shape_0" ID="Picture 4" stroked="f" style="position:absolute;left:-25;top:-11;width:549;height:680">
                <v:imagedata r:id="rId2" o:detectmouseclick="t"/>
                <w10:wrap type="none"/>
                <v:stroke color="#3465a4" joinstyle="round" endcap="flat"/>
              </v:rect>
            </v:group>
          </w:pict>
        </mc:Fallback>
      </mc:AlternateContent>
    </w:r>
  </w:p>
  <w:p>
    <w:pPr>
      <w:pStyle w:val="Pidipagina"/>
      <w:tabs>
        <w:tab w:val="left" w:pos="8640" w:leader="none"/>
      </w:tabs>
      <w:ind w:right="36" w:hanging="0"/>
      <w:rPr/>
    </w:pPr>
    <w:r>
      <w:rPr>
        <w:rFonts w:cs="Gautami" w:ascii="Gautami" w:hAnsi="Gautami"/>
        <w:i/>
        <w:sz w:val="18"/>
        <w:szCs w:val="18"/>
      </w:rPr>
      <w:t xml:space="preserve">Via Degasperi 79, Trento — tel. 0461 904171 </w:t>
    </w:r>
    <w:hyperlink r:id="rId4">
      <w:r>
        <w:rPr>
          <w:rStyle w:val="CollegamentoInternet"/>
          <w:rFonts w:cs="Gautami" w:ascii="Gautami" w:hAnsi="Gautami"/>
          <w:i/>
          <w:sz w:val="18"/>
          <w:szCs w:val="18"/>
          <w:lang w:val="fr-FR"/>
        </w:rPr>
        <w:t>http://www.apss.tn.it</w:t>
      </w:r>
    </w:hyperlink>
    <w:r>
      <w:rPr>
        <w:rFonts w:cs="Gautami" w:ascii="Gautami" w:hAnsi="Gautami"/>
        <w:sz w:val="18"/>
        <w:szCs w:val="18"/>
        <w:lang w:val="fr-FR"/>
      </w:rPr>
      <w:t xml:space="preserve"> — email: </w:t>
    </w:r>
    <w:hyperlink r:id="rId5">
      <w:r>
        <w:rPr>
          <w:rStyle w:val="CollegamentoInternet"/>
          <w:rFonts w:cs="Gautami" w:ascii="Gautami" w:hAnsi="Gautami"/>
          <w:i/>
          <w:sz w:val="18"/>
          <w:szCs w:val="18"/>
        </w:rPr>
        <w:t>servizio.comunicazione@apss.tn.it</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20"/>
      <w:ind w:right="-7" w:hanging="0"/>
      <w:jc w:val="center"/>
      <w:rPr>
        <w:rFonts w:ascii="Arial" w:hAnsi="Arial"/>
        <w:sz w:val="18"/>
      </w:rPr>
    </w:pPr>
    <w:r>
      <w:rPr>
        <w:rFonts w:ascii="Arial" w:hAnsi="Arial"/>
        <w:sz w:val="18"/>
      </w:rPr>
      <w:drawing>
        <wp:anchor behindDoc="1" distT="0" distB="0" distL="133350" distR="114300" simplePos="0" locked="0" layoutInCell="1" allowOverlap="1" relativeHeight="2">
          <wp:simplePos x="0" y="0"/>
          <wp:positionH relativeFrom="column">
            <wp:align>center</wp:align>
          </wp:positionH>
          <wp:positionV relativeFrom="paragraph">
            <wp:posOffset>3810</wp:posOffset>
          </wp:positionV>
          <wp:extent cx="5124450" cy="904875"/>
          <wp:effectExtent l="0" t="0" r="0" b="0"/>
          <wp:wrapSquare wrapText="bothSides"/>
          <wp:docPr id="1" name="Immagine2" descr="marchio orizzontale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marchio orizzontale nuovo"/>
                  <pic:cNvPicPr>
                    <a:picLocks noChangeAspect="1" noChangeArrowheads="1"/>
                  </pic:cNvPicPr>
                </pic:nvPicPr>
                <pic:blipFill>
                  <a:blip r:embed="rId1"/>
                  <a:stretch>
                    <a:fillRect/>
                  </a:stretch>
                </pic:blipFill>
                <pic:spPr bwMode="auto">
                  <a:xfrm>
                    <a:off x="0" y="0"/>
                    <a:ext cx="5124450" cy="904875"/>
                  </a:xfrm>
                  <a:prstGeom prst="rect">
                    <a:avLst/>
                  </a:prstGeom>
                </pic:spPr>
              </pic:pic>
            </a:graphicData>
          </a:graphic>
        </wp:anchor>
      </w:drawing>
    </w:r>
  </w:p>
</w:hdr>
</file>

<file path=word/settings.xml><?xml version="1.0" encoding="utf-8"?>
<w:settings xmlns:w="http://schemas.openxmlformats.org/wordprocessingml/2006/main">
  <w:zoom w:percent="100"/>
  <w:defaultTabStop w:val="709"/>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0ef9"/>
    <w:pPr>
      <w:widowControl/>
      <w:bidi w:val="0"/>
      <w:jc w:val="left"/>
    </w:pPr>
    <w:rPr>
      <w:rFonts w:ascii="Times New Roman" w:hAnsi="Times New Roman" w:eastAsia="Times New Roman" w:cs="Times New Roman"/>
      <w:color w:val="auto"/>
      <w:sz w:val="20"/>
      <w:szCs w:val="20"/>
      <w:lang w:val="it-IT" w:eastAsia="it-IT" w:bidi="ar-SA"/>
    </w:rPr>
  </w:style>
  <w:style w:type="paragraph" w:styleId="Titolo1">
    <w:name w:val="Heading 1"/>
    <w:basedOn w:val="Normal"/>
    <w:qFormat/>
    <w:rsid w:val="00f37338"/>
    <w:pPr>
      <w:keepNext/>
      <w:outlineLvl w:val="0"/>
    </w:pPr>
    <w:rPr>
      <w:rFonts w:ascii="Arial Narrow" w:hAnsi="Arial Narrow"/>
      <w:b/>
    </w:rPr>
  </w:style>
  <w:style w:type="paragraph" w:styleId="Titolo2">
    <w:name w:val="Heading 2"/>
    <w:basedOn w:val="Normal"/>
    <w:qFormat/>
    <w:rsid w:val="00f37338"/>
    <w:pPr>
      <w:keepNext/>
      <w:ind w:left="4820" w:hanging="0"/>
      <w:outlineLvl w:val="1"/>
    </w:pPr>
    <w:rPr>
      <w:rFonts w:ascii="Century Gothic" w:hAnsi="Century Gothic"/>
      <w:sz w:val="24"/>
      <w:u w:val="single"/>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rsid w:val="00232b2d"/>
    <w:rPr>
      <w:color w:val="0000FF"/>
      <w:u w:val="single"/>
    </w:rPr>
  </w:style>
  <w:style w:type="character" w:styleId="Footnotereference">
    <w:name w:val="footnote reference"/>
    <w:basedOn w:val="DefaultParagraphFont"/>
    <w:semiHidden/>
    <w:qFormat/>
    <w:rsid w:val="00232b2d"/>
    <w:rPr>
      <w:vertAlign w:val="superscript"/>
    </w:rPr>
  </w:style>
  <w:style w:type="character" w:styleId="Strong">
    <w:name w:val="Strong"/>
    <w:basedOn w:val="DefaultParagraphFont"/>
    <w:qFormat/>
    <w:rsid w:val="000a65c9"/>
    <w:rPr>
      <w:b/>
      <w:bCs/>
    </w:rPr>
  </w:style>
  <w:style w:type="character" w:styleId="Enfasi">
    <w:name w:val="Enfasi"/>
    <w:basedOn w:val="DefaultParagraphFont"/>
    <w:qFormat/>
    <w:rsid w:val="000a65c9"/>
    <w:rPr>
      <w:i/>
      <w:iCs/>
    </w:rPr>
  </w:style>
  <w:style w:type="character" w:styleId="FollowedHyperlink">
    <w:name w:val="FollowedHyperlink"/>
    <w:basedOn w:val="DefaultParagraphFont"/>
    <w:qFormat/>
    <w:rsid w:val="009a0ce4"/>
    <w:rPr>
      <w:color w:val="800080"/>
      <w:u w:val="single"/>
    </w:rPr>
  </w:style>
  <w:style w:type="character" w:styleId="Bumpedfont15" w:customStyle="1">
    <w:name w:val="bumpedfont15"/>
    <w:basedOn w:val="DefaultParagraphFont"/>
    <w:qFormat/>
    <w:rsid w:val="00ba6fac"/>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b w:val="false"/>
      <w:i w:val="false"/>
      <w:color w:val="00000A"/>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Times New Roman" w:cs="Times New Roman"/>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Times New Roman"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eastAsia="Times New Roman" w:cs="Times New Roman"/>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color w:val="800000"/>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sz w:val="24"/>
      <w:szCs w:val="24"/>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eastAsia="Times New Roman" w:cs="Times New Roman"/>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eastAsia="Times New Roman" w:cs="Times New Roman"/>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idipagina">
    <w:name w:val="Footer"/>
    <w:basedOn w:val="Normal"/>
    <w:rsid w:val="00f37338"/>
    <w:pPr>
      <w:jc w:val="center"/>
    </w:pPr>
    <w:rPr>
      <w:spacing w:val="-5"/>
      <w:sz w:val="16"/>
    </w:rPr>
  </w:style>
  <w:style w:type="paragraph" w:styleId="Intestazione">
    <w:name w:val="Header"/>
    <w:basedOn w:val="Normal"/>
    <w:rsid w:val="00f37338"/>
    <w:pPr>
      <w:tabs>
        <w:tab w:val="center" w:pos="4819" w:leader="none"/>
        <w:tab w:val="right" w:pos="9071" w:leader="none"/>
      </w:tabs>
    </w:pPr>
    <w:rPr/>
  </w:style>
  <w:style w:type="paragraph" w:styleId="DocumentMap">
    <w:name w:val="Document Map"/>
    <w:basedOn w:val="Normal"/>
    <w:semiHidden/>
    <w:qFormat/>
    <w:rsid w:val="00f37338"/>
    <w:pPr>
      <w:shd w:val="clear" w:color="auto" w:fill="000080"/>
    </w:pPr>
    <w:rPr>
      <w:rFonts w:ascii="Tahoma" w:hAnsi="Tahoma" w:cs="Tahoma"/>
    </w:rPr>
  </w:style>
  <w:style w:type="paragraph" w:styleId="Footnotetext">
    <w:name w:val="footnote text"/>
    <w:basedOn w:val="Normal"/>
    <w:semiHidden/>
    <w:qFormat/>
    <w:rsid w:val="00232b2d"/>
    <w:pPr/>
    <w:rPr/>
  </w:style>
  <w:style w:type="paragraph" w:styleId="BalloonText">
    <w:name w:val="Balloon Text"/>
    <w:basedOn w:val="Normal"/>
    <w:semiHidden/>
    <w:qFormat/>
    <w:rsid w:val="00b14977"/>
    <w:pPr/>
    <w:rPr>
      <w:rFonts w:ascii="Tahoma" w:hAnsi="Tahoma" w:cs="Tahoma"/>
      <w:sz w:val="16"/>
      <w:szCs w:val="16"/>
    </w:rPr>
  </w:style>
  <w:style w:type="paragraph" w:styleId="NormalWeb">
    <w:name w:val="Normal (Web)"/>
    <w:basedOn w:val="Normal"/>
    <w:uiPriority w:val="99"/>
    <w:qFormat/>
    <w:rsid w:val="000a65c9"/>
    <w:pPr>
      <w:spacing w:beforeAutospacing="1" w:afterAutospacing="1"/>
    </w:pPr>
    <w:rPr>
      <w:sz w:val="24"/>
      <w:szCs w:val="24"/>
    </w:rPr>
  </w:style>
  <w:style w:type="paragraph" w:styleId="Default" w:customStyle="1">
    <w:name w:val="Default"/>
    <w:qFormat/>
    <w:rsid w:val="00d413ad"/>
    <w:pPr>
      <w:widowControl/>
      <w:bidi w:val="0"/>
      <w:jc w:val="left"/>
    </w:pPr>
    <w:rPr>
      <w:rFonts w:ascii="Arial" w:hAnsi="Arial" w:cs="Arial" w:eastAsia="Times New Roman"/>
      <w:color w:val="000000"/>
      <w:sz w:val="24"/>
      <w:szCs w:val="24"/>
      <w:lang w:val="it-IT" w:eastAsia="it-IT" w:bidi="ar-SA"/>
    </w:rPr>
  </w:style>
  <w:style w:type="paragraph" w:styleId="S14" w:customStyle="1">
    <w:name w:val="s14"/>
    <w:basedOn w:val="Normal"/>
    <w:qFormat/>
    <w:rsid w:val="00ba6fac"/>
    <w:pPr>
      <w:spacing w:beforeAutospacing="1" w:afterAutospacing="1"/>
    </w:pPr>
    <w:rPr>
      <w:rFonts w:eastAsia="Calibri" w:eastAsiaTheme="minorHAnsi"/>
      <w:sz w:val="24"/>
      <w:szCs w:val="24"/>
    </w:rPr>
  </w:style>
  <w:style w:type="paragraph" w:styleId="ListParagraph">
    <w:name w:val="List Paragraph"/>
    <w:basedOn w:val="Normal"/>
    <w:uiPriority w:val="34"/>
    <w:qFormat/>
    <w:rsid w:val="00e14336"/>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rsid w:val="00232b2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pss.tn.it/" TargetMode="External"/><Relationship Id="rId3" Type="http://schemas.openxmlformats.org/officeDocument/2006/relationships/hyperlink" Target="mailto:servizio.comunicazione@apss.tn.it" TargetMode="External"/><Relationship Id="rId4" Type="http://schemas.openxmlformats.org/officeDocument/2006/relationships/hyperlink" Target="mailto:protonterapia@apss.tn.it" TargetMode="External"/><Relationship Id="rId5" Type="http://schemas.openxmlformats.org/officeDocument/2006/relationships/hyperlink" Target="http://www.protonterapia.provincia.tn.i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 Id="rId3" Type="http://schemas.openxmlformats.org/officeDocument/2006/relationships/image" Target="media/image4.jpeg"/><Relationship Id="rId4" Type="http://schemas.openxmlformats.org/officeDocument/2006/relationships/hyperlink" Target="http://www.apss.tn.it/" TargetMode="External"/><Relationship Id="rId5" Type="http://schemas.openxmlformats.org/officeDocument/2006/relationships/hyperlink" Target="mailto:servizio.comunicazione@apss.tn.it" TargetMode="External"/>
</Relationships>
</file>

<file path=word/_rels/footer2.xml.rels><?xml version="1.0" encoding="UTF-8"?>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 Id="rId3" Type="http://schemas.openxmlformats.org/officeDocument/2006/relationships/image" Target="media/image7.jpeg"/><Relationship Id="rId4" Type="http://schemas.openxmlformats.org/officeDocument/2006/relationships/hyperlink" Target="http://www.apss.tn.it/" TargetMode="External"/><Relationship Id="rId5" Type="http://schemas.openxmlformats.org/officeDocument/2006/relationships/hyperlink" Target="mailto:servizio.comunicazione@apss.tn.it"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AF58C-4F95-42F8-9734-383585B5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giunta</Template>
  <TotalTime>26</TotalTime>
  <Application>LibreOffice/5.1.5.2$Windows_x86 LibreOffice_project/7a864d8825610a8c07cfc3bc01dd4fce6a9447e5</Application>
  <Pages>1</Pages>
  <Words>941</Words>
  <CharactersWithSpaces>5370</CharactersWithSpaces>
  <Paragraphs>12</Paragraphs>
  <Company>Azienda provinciale per i servizi sanitari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2016-11-25T09:33:00Z</dcterms:created>
  <dc:creator>rc</dc:creator>
  <dc:description/>
  <dc:language>it-IT</dc:language>
  <cp:lastModifiedBy/>
  <cp:lastPrinted>2016-11-25T09:54:00Z</cp:lastPrinted>
  <dcterms:modified xsi:type="dcterms:W3CDTF">2016-11-25T15:09:42Z</dcterms:modified>
  <cp:revision>10</cp:revision>
  <dc:subject/>
  <dc:title>Ufficio stampa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Azienda provinciale per i servizi sanitari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