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EA25" w14:textId="77777777" w:rsidR="002250B6" w:rsidRDefault="002250B6" w:rsidP="002250B6">
      <w:pPr>
        <w:pStyle w:val="NormaleWeb"/>
        <w:spacing w:before="240" w:beforeAutospacing="0" w:after="240" w:afterAutospacing="0"/>
        <w:ind w:left="-2" w:hanging="3"/>
        <w:jc w:val="center"/>
      </w:pPr>
      <w:r>
        <w:rPr>
          <w:rFonts w:ascii="Arial" w:hAnsi="Arial" w:cs="Arial"/>
          <w:b/>
          <w:bCs/>
          <w:color w:val="000000"/>
          <w:sz w:val="30"/>
          <w:szCs w:val="30"/>
        </w:rPr>
        <w:t>39° Rapporto sull’occupazione in provincia di Trento </w:t>
      </w:r>
    </w:p>
    <w:p w14:paraId="2B145AEB" w14:textId="77777777" w:rsidR="002250B6" w:rsidRDefault="002250B6" w:rsidP="002250B6">
      <w:pPr>
        <w:pStyle w:val="NormaleWeb"/>
        <w:spacing w:before="240" w:beforeAutospacing="0" w:after="240" w:afterAutospacing="0"/>
        <w:ind w:left="-2" w:hanging="3"/>
        <w:jc w:val="center"/>
      </w:pPr>
      <w:r>
        <w:rPr>
          <w:rFonts w:ascii="Arial" w:hAnsi="Arial" w:cs="Arial"/>
          <w:b/>
          <w:bCs/>
          <w:color w:val="000000"/>
          <w:sz w:val="30"/>
          <w:szCs w:val="30"/>
        </w:rPr>
        <w:t xml:space="preserve">primo semestre 2024 </w:t>
      </w:r>
      <w:r>
        <w:rPr>
          <w:rFonts w:ascii="Arial" w:hAnsi="Arial" w:cs="Arial"/>
          <w:b/>
          <w:bCs/>
          <w:color w:val="000000"/>
        </w:rPr>
        <w:t>  </w:t>
      </w:r>
    </w:p>
    <w:p w14:paraId="46F0BC2B" w14:textId="77777777" w:rsidR="002250B6" w:rsidRDefault="002250B6" w:rsidP="002250B6">
      <w:pPr>
        <w:pStyle w:val="NormaleWeb"/>
        <w:spacing w:before="240" w:beforeAutospacing="0" w:after="240" w:afterAutospacing="0"/>
        <w:ind w:left="-2" w:hanging="3"/>
        <w:jc w:val="center"/>
      </w:pPr>
      <w:r>
        <w:rPr>
          <w:rFonts w:ascii="Arial" w:hAnsi="Arial" w:cs="Arial"/>
          <w:b/>
          <w:bCs/>
          <w:color w:val="000000"/>
        </w:rPr>
        <w:t>- Sintesi dei dati per i giornalisti -</w:t>
      </w:r>
    </w:p>
    <w:p w14:paraId="1C6F8C73" w14:textId="77777777" w:rsidR="002250B6" w:rsidRDefault="002250B6" w:rsidP="002250B6">
      <w:pPr>
        <w:spacing w:after="0" w:line="240" w:lineRule="auto"/>
        <w:jc w:val="both"/>
        <w:rPr>
          <w:rFonts w:ascii="Times New Roman" w:eastAsia="Times New Roman" w:hAnsi="Times New Roman" w:cs="Times New Roman"/>
          <w:b/>
          <w:bCs/>
          <w:color w:val="000000"/>
          <w:sz w:val="24"/>
          <w:szCs w:val="24"/>
          <w:lang w:eastAsia="it-IT"/>
        </w:rPr>
      </w:pPr>
    </w:p>
    <w:p w14:paraId="28C98489" w14:textId="77777777" w:rsidR="002250B6" w:rsidRDefault="002250B6" w:rsidP="002250B6">
      <w:pPr>
        <w:spacing w:after="0" w:line="240" w:lineRule="auto"/>
        <w:jc w:val="both"/>
        <w:rPr>
          <w:rFonts w:ascii="Times New Roman" w:eastAsia="Times New Roman" w:hAnsi="Times New Roman" w:cs="Times New Roman"/>
          <w:b/>
          <w:bCs/>
          <w:color w:val="000000"/>
          <w:sz w:val="24"/>
          <w:szCs w:val="24"/>
          <w:lang w:eastAsia="it-IT"/>
        </w:rPr>
      </w:pPr>
    </w:p>
    <w:p w14:paraId="55EE3DC8" w14:textId="77777777" w:rsidR="002250B6" w:rsidRDefault="002250B6" w:rsidP="002250B6">
      <w:pPr>
        <w:spacing w:after="0" w:line="240" w:lineRule="auto"/>
        <w:jc w:val="both"/>
        <w:rPr>
          <w:rFonts w:ascii="Times New Roman" w:eastAsia="Times New Roman" w:hAnsi="Times New Roman" w:cs="Times New Roman"/>
          <w:b/>
          <w:bCs/>
          <w:color w:val="000000"/>
          <w:sz w:val="24"/>
          <w:szCs w:val="24"/>
          <w:lang w:eastAsia="it-IT"/>
        </w:rPr>
      </w:pPr>
    </w:p>
    <w:p w14:paraId="2FC4FC78" w14:textId="77777777" w:rsidR="002250B6" w:rsidRPr="002250B6" w:rsidRDefault="002250B6" w:rsidP="002250B6">
      <w:pPr>
        <w:spacing w:after="0" w:line="240" w:lineRule="auto"/>
        <w:jc w:val="both"/>
        <w:rPr>
          <w:rFonts w:ascii="Times New Roman" w:eastAsia="Times New Roman" w:hAnsi="Times New Roman" w:cs="Times New Roman"/>
          <w:sz w:val="24"/>
          <w:szCs w:val="24"/>
          <w:lang w:eastAsia="it-IT"/>
        </w:rPr>
      </w:pPr>
      <w:r w:rsidRPr="002250B6">
        <w:rPr>
          <w:rFonts w:ascii="Times New Roman" w:eastAsia="Times New Roman" w:hAnsi="Times New Roman" w:cs="Times New Roman"/>
          <w:b/>
          <w:bCs/>
          <w:color w:val="000000"/>
          <w:sz w:val="24"/>
          <w:szCs w:val="24"/>
          <w:lang w:eastAsia="it-IT"/>
        </w:rPr>
        <w:t>Nel corso del primo semestre 2024</w:t>
      </w:r>
    </w:p>
    <w:p w14:paraId="33166721" w14:textId="77777777" w:rsidR="002250B6" w:rsidRPr="002250B6" w:rsidRDefault="002250B6" w:rsidP="002250B6">
      <w:pPr>
        <w:spacing w:after="0" w:line="240" w:lineRule="auto"/>
        <w:rPr>
          <w:rFonts w:ascii="Times New Roman" w:eastAsia="Times New Roman" w:hAnsi="Times New Roman" w:cs="Times New Roman"/>
          <w:sz w:val="24"/>
          <w:szCs w:val="24"/>
          <w:lang w:eastAsia="it-IT"/>
        </w:rPr>
      </w:pPr>
    </w:p>
    <w:p w14:paraId="7D7F272A" w14:textId="77777777" w:rsidR="002250B6" w:rsidRPr="002250B6" w:rsidRDefault="002250B6" w:rsidP="002250B6">
      <w:pPr>
        <w:spacing w:after="0" w:line="240" w:lineRule="auto"/>
        <w:ind w:left="84"/>
        <w:rPr>
          <w:rFonts w:ascii="Times New Roman" w:eastAsia="Times New Roman" w:hAnsi="Times New Roman" w:cs="Times New Roman"/>
          <w:sz w:val="24"/>
          <w:szCs w:val="24"/>
          <w:lang w:eastAsia="it-IT"/>
        </w:rPr>
      </w:pPr>
      <w:r w:rsidRPr="002250B6">
        <w:rPr>
          <w:rFonts w:ascii="Times New Roman" w:eastAsia="Times New Roman" w:hAnsi="Times New Roman" w:cs="Times New Roman"/>
          <w:color w:val="000000"/>
          <w:sz w:val="24"/>
          <w:szCs w:val="24"/>
          <w:lang w:eastAsia="it-IT"/>
        </w:rPr>
        <w:t>In breve:</w:t>
      </w:r>
    </w:p>
    <w:p w14:paraId="120E6FB8" w14:textId="77777777" w:rsidR="002250B6" w:rsidRPr="00CC41BF" w:rsidRDefault="00CC41BF" w:rsidP="00CC41BF">
      <w:pPr>
        <w:numPr>
          <w:ilvl w:val="0"/>
          <w:numId w:val="1"/>
        </w:numPr>
        <w:spacing w:before="240" w:after="240" w:line="240" w:lineRule="auto"/>
        <w:ind w:right="98"/>
        <w:jc w:val="both"/>
        <w:textAlignment w:val="baseline"/>
        <w:rPr>
          <w:rFonts w:ascii="Times New Roman" w:eastAsia="Times New Roman" w:hAnsi="Times New Roman" w:cs="Times New Roman"/>
          <w:color w:val="000000"/>
          <w:sz w:val="24"/>
          <w:szCs w:val="24"/>
        </w:rPr>
      </w:pPr>
      <w:r w:rsidRPr="00CC41BF">
        <w:rPr>
          <w:rFonts w:ascii="Times New Roman" w:eastAsia="Times New Roman" w:hAnsi="Times New Roman" w:cs="Times New Roman"/>
          <w:color w:val="000000"/>
          <w:sz w:val="24"/>
          <w:szCs w:val="24"/>
        </w:rPr>
        <w:t>Nel corso del primo semestre 2024</w:t>
      </w:r>
      <w:r w:rsidR="00CC7476">
        <w:rPr>
          <w:rFonts w:ascii="Times New Roman" w:eastAsia="Times New Roman" w:hAnsi="Times New Roman" w:cs="Times New Roman"/>
          <w:color w:val="000000"/>
          <w:sz w:val="24"/>
          <w:szCs w:val="24"/>
        </w:rPr>
        <w:t>,</w:t>
      </w:r>
      <w:r w:rsidRPr="00CC41BF">
        <w:rPr>
          <w:rFonts w:ascii="Times New Roman" w:eastAsia="Times New Roman" w:hAnsi="Times New Roman" w:cs="Times New Roman"/>
          <w:color w:val="000000"/>
          <w:sz w:val="24"/>
          <w:szCs w:val="24"/>
        </w:rPr>
        <w:t xml:space="preserve"> l’economia trentina evidenzia una tendenza alla decelerazione che è ravvisabile, in particolare, in variazioni medie annue moderatamente calanti di alcuni macro indicatori economici quali gli ordinativi (-7,5%) e il fatturato totale (-0,8%). Ad originare tale esito incidono negativamente la flessione media an</w:t>
      </w:r>
      <w:r w:rsidR="002925AD">
        <w:rPr>
          <w:rFonts w:ascii="Times New Roman" w:eastAsia="Times New Roman" w:hAnsi="Times New Roman" w:cs="Times New Roman"/>
          <w:color w:val="000000"/>
          <w:sz w:val="24"/>
          <w:szCs w:val="24"/>
        </w:rPr>
        <w:t xml:space="preserve">nua del fatturato locale (-1,7%) e del fatturato estero </w:t>
      </w:r>
      <w:r w:rsidRPr="00CC41BF">
        <w:rPr>
          <w:rFonts w:ascii="Times New Roman" w:eastAsia="Times New Roman" w:hAnsi="Times New Roman" w:cs="Times New Roman"/>
          <w:color w:val="000000"/>
          <w:sz w:val="24"/>
          <w:szCs w:val="24"/>
        </w:rPr>
        <w:t>(-2,3%), non recuperata interamente dal buon andamento delle transazioni sul mercato nazionale che ha, invece, prodotto un incremento medio del fatturato pari all’1,2%. In lieve crescita risulta anche il valore medio della produzione (+0,7%). Per quanto concerne il turismo, prosegue durante la stagione invernale la dinamica ascendente dei movimenti, ancorché con ritmi meno accentuati rispetto ai rimbalzi della precedente stagione</w:t>
      </w:r>
      <w:r w:rsidR="00CC7476">
        <w:rPr>
          <w:rFonts w:ascii="Times New Roman" w:eastAsia="Times New Roman" w:hAnsi="Times New Roman" w:cs="Times New Roman"/>
          <w:color w:val="000000"/>
          <w:sz w:val="24"/>
          <w:szCs w:val="24"/>
        </w:rPr>
        <w:t xml:space="preserve">. </w:t>
      </w:r>
      <w:r w:rsidRPr="00CC41BF">
        <w:rPr>
          <w:rFonts w:ascii="Times New Roman" w:eastAsia="Times New Roman" w:hAnsi="Times New Roman" w:cs="Times New Roman"/>
          <w:color w:val="000000"/>
          <w:sz w:val="24"/>
          <w:szCs w:val="24"/>
        </w:rPr>
        <w:t>Presso le strutture alberghiere ed extralberghiere la crescita complessiva dei flussi, rispetto alla stagione invernale precedente, è del 2,7% per gli arrivi e del 4,3% per le presenze</w:t>
      </w:r>
      <w:r w:rsidR="00B007D0">
        <w:rPr>
          <w:rFonts w:ascii="Times New Roman" w:eastAsia="Times New Roman" w:hAnsi="Times New Roman" w:cs="Times New Roman"/>
          <w:color w:val="000000"/>
          <w:sz w:val="24"/>
          <w:szCs w:val="24"/>
        </w:rPr>
        <w:t>.</w:t>
      </w:r>
    </w:p>
    <w:p w14:paraId="4EE0AA41" w14:textId="77777777" w:rsidR="00A979BE" w:rsidRPr="002250B6" w:rsidRDefault="00A979BE" w:rsidP="00A979BE">
      <w:pPr>
        <w:numPr>
          <w:ilvl w:val="0"/>
          <w:numId w:val="1"/>
        </w:numPr>
        <w:spacing w:before="240" w:after="240" w:line="240" w:lineRule="auto"/>
        <w:ind w:right="98"/>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rPr>
        <w:t>Il mercato del lavoro mostra segnali incoraggianti. Rispetto al primo semestre del 2023, aumenta il numero di persone attive (+0,5%), grazie a una crescita degli occupati (+1,3%), che si accompagna ad un calo delle persone in cerca di lavoro (-18,9%). L’aumento degli occupati coinvolge sia i maschi che le femmine e si presenta particolarmente intenso in agricoltura (+13,5%) e nelle costruzioni (+25,6%). La componente autonoma giustifica da sola quasi tutto l’aumento, sebbene rappresenti una quota minoritaria dell’occupazione complessiva (19,5%). I disoccupati scendono molto più tra le donne che tra gli uomini</w:t>
      </w:r>
      <w:r w:rsidRPr="002250B6">
        <w:rPr>
          <w:rFonts w:ascii="Times New Roman" w:eastAsia="Times New Roman" w:hAnsi="Times New Roman" w:cs="Times New Roman"/>
          <w:color w:val="000000"/>
          <w:sz w:val="24"/>
          <w:szCs w:val="24"/>
          <w:lang w:eastAsia="it-IT"/>
        </w:rPr>
        <w:t>.</w:t>
      </w:r>
    </w:p>
    <w:p w14:paraId="1BF0533C" w14:textId="77777777" w:rsidR="00BB7526" w:rsidRDefault="00023CE2" w:rsidP="002250B6">
      <w:pPr>
        <w:numPr>
          <w:ilvl w:val="0"/>
          <w:numId w:val="1"/>
        </w:numPr>
        <w:spacing w:before="240" w:after="240" w:line="240" w:lineRule="auto"/>
        <w:ind w:right="98"/>
        <w:jc w:val="both"/>
        <w:textAlignment w:val="baseline"/>
        <w:rPr>
          <w:rFonts w:ascii="Times New Roman" w:eastAsia="Times New Roman" w:hAnsi="Times New Roman" w:cs="Times New Roman"/>
          <w:color w:val="000000"/>
          <w:sz w:val="24"/>
          <w:szCs w:val="24"/>
          <w:lang w:eastAsia="it-IT"/>
        </w:rPr>
      </w:pPr>
      <w:r w:rsidRPr="00BB7526">
        <w:rPr>
          <w:rFonts w:ascii="Times New Roman" w:eastAsia="Times New Roman" w:hAnsi="Times New Roman" w:cs="Times New Roman"/>
          <w:color w:val="000000"/>
          <w:sz w:val="24"/>
          <w:szCs w:val="24"/>
        </w:rPr>
        <w:t>L’occupazione alle dipendenze, monitorata grazie alla banca dati delle Comunicazioni Obbligatorie, manifesta una crescita del 3,0%</w:t>
      </w:r>
      <w:r w:rsidR="008B7EAF" w:rsidRPr="00BB7526">
        <w:rPr>
          <w:rFonts w:ascii="Times New Roman" w:eastAsia="Times New Roman" w:hAnsi="Times New Roman" w:cs="Times New Roman"/>
          <w:color w:val="000000"/>
          <w:sz w:val="24"/>
          <w:szCs w:val="24"/>
        </w:rPr>
        <w:t xml:space="preserve"> rispetto al primo semestre 2023</w:t>
      </w:r>
      <w:r w:rsidRPr="00BB7526">
        <w:rPr>
          <w:rFonts w:ascii="Times New Roman" w:eastAsia="Times New Roman" w:hAnsi="Times New Roman" w:cs="Times New Roman"/>
          <w:color w:val="000000"/>
          <w:sz w:val="24"/>
          <w:szCs w:val="24"/>
        </w:rPr>
        <w:t>, supportata soprattutto dalle donne, dai giovani, dai lavoratori senior e dagli stranieri. I comparti d’attività con le migliori performance sono i pubblici esercizi (+6,0%), le costruzioni (+3,4%) e le altre attività dei servizi (+4,3%). Gli occupati a termine aumentano più di quelli stabili, ma questi ultimi rappresentano sempre la maggioranza dell’occupazione dipendente, con otto lavoratori su dieci. Tra le professioni crescono soprattutto quelle che r</w:t>
      </w:r>
      <w:r w:rsidR="00BB7526">
        <w:rPr>
          <w:rFonts w:ascii="Times New Roman" w:eastAsia="Times New Roman" w:hAnsi="Times New Roman" w:cs="Times New Roman"/>
          <w:color w:val="000000"/>
          <w:sz w:val="24"/>
          <w:szCs w:val="24"/>
        </w:rPr>
        <w:t xml:space="preserve">ichiedono competenze complesse e le professioni qualificate del commercio e dei servizi. </w:t>
      </w:r>
    </w:p>
    <w:p w14:paraId="6DB5F38B" w14:textId="77777777" w:rsidR="002250B6" w:rsidRPr="00BB7526" w:rsidRDefault="002250B6" w:rsidP="002250B6">
      <w:pPr>
        <w:numPr>
          <w:ilvl w:val="0"/>
          <w:numId w:val="1"/>
        </w:numPr>
        <w:spacing w:before="240" w:after="240" w:line="240" w:lineRule="auto"/>
        <w:ind w:right="98"/>
        <w:jc w:val="both"/>
        <w:textAlignment w:val="baseline"/>
        <w:rPr>
          <w:rFonts w:ascii="Times New Roman" w:eastAsia="Times New Roman" w:hAnsi="Times New Roman" w:cs="Times New Roman"/>
          <w:color w:val="000000"/>
          <w:sz w:val="24"/>
          <w:szCs w:val="24"/>
          <w:lang w:eastAsia="it-IT"/>
        </w:rPr>
      </w:pPr>
      <w:r w:rsidRPr="00BB7526">
        <w:rPr>
          <w:rFonts w:ascii="Times New Roman" w:eastAsia="Times New Roman" w:hAnsi="Times New Roman" w:cs="Times New Roman"/>
          <w:color w:val="000000"/>
          <w:sz w:val="24"/>
          <w:szCs w:val="24"/>
          <w:lang w:eastAsia="it-IT"/>
        </w:rPr>
        <w:t xml:space="preserve">Nel corso del primo semestre del 2024, rispetto all’analogo periodo dell’anno prima, si osserva invece un </w:t>
      </w:r>
      <w:r w:rsidR="00353EC6" w:rsidRPr="00BB7526">
        <w:rPr>
          <w:rFonts w:ascii="Times New Roman" w:eastAsia="Times New Roman" w:hAnsi="Times New Roman" w:cs="Times New Roman"/>
          <w:color w:val="000000"/>
          <w:sz w:val="24"/>
          <w:szCs w:val="24"/>
          <w:lang w:eastAsia="it-IT"/>
        </w:rPr>
        <w:t>calo</w:t>
      </w:r>
      <w:r w:rsidRPr="00BB7526">
        <w:rPr>
          <w:rFonts w:ascii="Times New Roman" w:eastAsia="Times New Roman" w:hAnsi="Times New Roman" w:cs="Times New Roman"/>
          <w:color w:val="000000"/>
          <w:sz w:val="24"/>
          <w:szCs w:val="24"/>
          <w:lang w:eastAsia="it-IT"/>
        </w:rPr>
        <w:t xml:space="preserve"> della domanda di lavoro delle imprese trentine. Rispetto ai primi sei mesi del 2023</w:t>
      </w:r>
      <w:r w:rsidR="00F60B6A" w:rsidRPr="00BB7526">
        <w:rPr>
          <w:rFonts w:ascii="Times New Roman" w:eastAsia="Times New Roman" w:hAnsi="Times New Roman" w:cs="Times New Roman"/>
          <w:color w:val="000000"/>
          <w:sz w:val="24"/>
          <w:szCs w:val="24"/>
          <w:lang w:eastAsia="it-IT"/>
        </w:rPr>
        <w:t>,</w:t>
      </w:r>
      <w:r w:rsidRPr="00BB7526">
        <w:rPr>
          <w:rFonts w:ascii="Times New Roman" w:eastAsia="Times New Roman" w:hAnsi="Times New Roman" w:cs="Times New Roman"/>
          <w:color w:val="000000"/>
          <w:sz w:val="24"/>
          <w:szCs w:val="24"/>
          <w:lang w:eastAsia="it-IT"/>
        </w:rPr>
        <w:t xml:space="preserve"> le assunzioni flettono di 1.451 unità e dell’1,9%.  Questo calo è tuttavia compensato da un saldo occupazionale che si mantiene  positivo, con un numero di assunzioni e trasformazioni a tempo indeterminato di 12.608 unità superiore a quello delle cessazioni dal lavoro.</w:t>
      </w:r>
    </w:p>
    <w:p w14:paraId="784D1806" w14:textId="77777777" w:rsidR="002E1E9C" w:rsidRPr="007F2798" w:rsidRDefault="007F2798" w:rsidP="007F2798">
      <w:pPr>
        <w:numPr>
          <w:ilvl w:val="0"/>
          <w:numId w:val="1"/>
        </w:numPr>
        <w:spacing w:before="240" w:after="240" w:line="240" w:lineRule="auto"/>
        <w:ind w:right="98"/>
        <w:jc w:val="both"/>
        <w:textAlignment w:val="baseline"/>
        <w:rPr>
          <w:rFonts w:ascii="Times New Roman" w:eastAsia="Times New Roman" w:hAnsi="Times New Roman" w:cs="Times New Roman"/>
          <w:color w:val="000000"/>
          <w:sz w:val="24"/>
          <w:szCs w:val="24"/>
          <w:lang w:eastAsia="it-IT"/>
        </w:rPr>
      </w:pPr>
      <w:r w:rsidRPr="007F2798">
        <w:rPr>
          <w:rFonts w:ascii="Times New Roman" w:eastAsia="Times New Roman" w:hAnsi="Times New Roman" w:cs="Times New Roman"/>
          <w:color w:val="000000"/>
          <w:sz w:val="24"/>
          <w:szCs w:val="24"/>
        </w:rPr>
        <w:lastRenderedPageBreak/>
        <w:t>Il ricorso alla cassa integrazione è in calo. Sono state autorizzate 679.812 ore</w:t>
      </w:r>
      <w:r w:rsidR="008B7EAF">
        <w:rPr>
          <w:rFonts w:ascii="Times New Roman" w:eastAsia="Times New Roman" w:hAnsi="Times New Roman" w:cs="Times New Roman"/>
          <w:color w:val="000000"/>
          <w:sz w:val="24"/>
          <w:szCs w:val="24"/>
        </w:rPr>
        <w:t>,</w:t>
      </w:r>
      <w:r w:rsidRPr="007F2798">
        <w:rPr>
          <w:rFonts w:ascii="Times New Roman" w:eastAsia="Times New Roman" w:hAnsi="Times New Roman" w:cs="Times New Roman"/>
          <w:color w:val="000000"/>
          <w:sz w:val="24"/>
          <w:szCs w:val="24"/>
        </w:rPr>
        <w:t xml:space="preserve"> in calo del 38,6% sul primo semestre 2023. La flessione ha interessato soprattutto la Cigs, che è scesa dell’80,9%, mentre per la Cigo la variazione si quantifica </w:t>
      </w:r>
      <w:r w:rsidR="00876AEB">
        <w:rPr>
          <w:rFonts w:ascii="Times New Roman" w:eastAsia="Times New Roman" w:hAnsi="Times New Roman" w:cs="Times New Roman"/>
          <w:color w:val="000000"/>
          <w:sz w:val="24"/>
          <w:szCs w:val="24"/>
        </w:rPr>
        <w:t xml:space="preserve">in un </w:t>
      </w:r>
      <w:r w:rsidR="00F60B6A">
        <w:rPr>
          <w:rFonts w:ascii="Times New Roman" w:eastAsia="Times New Roman" w:hAnsi="Times New Roman" w:cs="Times New Roman"/>
          <w:color w:val="000000"/>
          <w:sz w:val="24"/>
          <w:szCs w:val="24"/>
        </w:rPr>
        <w:t>-</w:t>
      </w:r>
      <w:r w:rsidRPr="007F2798">
        <w:rPr>
          <w:rFonts w:ascii="Times New Roman" w:eastAsia="Times New Roman" w:hAnsi="Times New Roman" w:cs="Times New Roman"/>
          <w:color w:val="000000"/>
          <w:sz w:val="24"/>
          <w:szCs w:val="24"/>
        </w:rPr>
        <w:t>33,7%. Il 97</w:t>
      </w:r>
      <w:r w:rsidR="00183F9C">
        <w:rPr>
          <w:rFonts w:ascii="Times New Roman" w:eastAsia="Times New Roman" w:hAnsi="Times New Roman" w:cs="Times New Roman"/>
          <w:color w:val="000000"/>
          <w:sz w:val="24"/>
          <w:szCs w:val="24"/>
        </w:rPr>
        <w:t>% di tutte le ore concesse ha</w:t>
      </w:r>
      <w:r w:rsidRPr="007F2798">
        <w:rPr>
          <w:rFonts w:ascii="Times New Roman" w:eastAsia="Times New Roman" w:hAnsi="Times New Roman" w:cs="Times New Roman"/>
          <w:color w:val="000000"/>
          <w:sz w:val="24"/>
          <w:szCs w:val="24"/>
        </w:rPr>
        <w:t xml:space="preserve"> riguardato interventi ordinari</w:t>
      </w:r>
      <w:r w:rsidR="008B7EAF">
        <w:rPr>
          <w:rFonts w:ascii="Times New Roman" w:eastAsia="Times New Roman" w:hAnsi="Times New Roman" w:cs="Times New Roman"/>
          <w:color w:val="000000"/>
          <w:sz w:val="24"/>
          <w:szCs w:val="24"/>
        </w:rPr>
        <w:t>.</w:t>
      </w:r>
    </w:p>
    <w:p w14:paraId="409F9A30" w14:textId="77777777" w:rsidR="002E1E9C" w:rsidRDefault="002E1E9C" w:rsidP="00183317">
      <w:pPr>
        <w:spacing w:after="0" w:line="240" w:lineRule="auto"/>
        <w:jc w:val="both"/>
        <w:rPr>
          <w:rFonts w:ascii="Times New Roman" w:eastAsia="Times New Roman" w:hAnsi="Times New Roman" w:cs="Times New Roman"/>
          <w:b/>
          <w:bCs/>
          <w:color w:val="000000"/>
          <w:sz w:val="24"/>
          <w:szCs w:val="24"/>
          <w:lang w:eastAsia="it-IT"/>
        </w:rPr>
      </w:pPr>
    </w:p>
    <w:p w14:paraId="45EAEE97" w14:textId="77777777" w:rsidR="002E1E9C" w:rsidRPr="00EB2C5E" w:rsidRDefault="002E1E9C" w:rsidP="002E1E9C">
      <w:pPr>
        <w:spacing w:after="0" w:line="240" w:lineRule="auto"/>
        <w:jc w:val="both"/>
        <w:rPr>
          <w:rFonts w:ascii="Times New Roman" w:eastAsia="Times New Roman" w:hAnsi="Times New Roman" w:cs="Times New Roman"/>
          <w:sz w:val="24"/>
          <w:szCs w:val="24"/>
          <w:lang w:eastAsia="it-IT"/>
        </w:rPr>
      </w:pPr>
      <w:r w:rsidRPr="00EB2C5E">
        <w:rPr>
          <w:rFonts w:ascii="Times New Roman" w:eastAsia="Times New Roman" w:hAnsi="Times New Roman" w:cs="Times New Roman"/>
          <w:b/>
          <w:bCs/>
          <w:color w:val="000000"/>
          <w:sz w:val="24"/>
          <w:szCs w:val="24"/>
          <w:lang w:eastAsia="it-IT"/>
        </w:rPr>
        <w:t xml:space="preserve">L’andamento dell’economia </w:t>
      </w:r>
      <w:r>
        <w:rPr>
          <w:rFonts w:ascii="Times New Roman" w:eastAsia="Times New Roman" w:hAnsi="Times New Roman" w:cs="Times New Roman"/>
          <w:b/>
          <w:bCs/>
          <w:color w:val="000000"/>
          <w:sz w:val="24"/>
          <w:szCs w:val="24"/>
          <w:lang w:eastAsia="it-IT"/>
        </w:rPr>
        <w:t>e del turismo</w:t>
      </w:r>
    </w:p>
    <w:p w14:paraId="60CFF7D0" w14:textId="77777777" w:rsidR="002E1E9C" w:rsidRPr="002C660A" w:rsidRDefault="002E1E9C" w:rsidP="002E1E9C">
      <w:pPr>
        <w:spacing w:after="0" w:line="240" w:lineRule="auto"/>
        <w:rPr>
          <w:rFonts w:ascii="Times New Roman" w:eastAsia="Times New Roman" w:hAnsi="Times New Roman" w:cs="Times New Roman"/>
          <w:sz w:val="24"/>
          <w:szCs w:val="24"/>
          <w:lang w:eastAsia="it-IT"/>
        </w:rPr>
      </w:pPr>
    </w:p>
    <w:p w14:paraId="2562C20D" w14:textId="77777777" w:rsidR="002E1E9C" w:rsidRPr="00F2727D"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F2727D">
        <w:rPr>
          <w:rFonts w:ascii="Times New Roman" w:eastAsia="Times New Roman" w:hAnsi="Times New Roman" w:cs="Times New Roman"/>
          <w:sz w:val="24"/>
          <w:szCs w:val="24"/>
        </w:rPr>
        <w:t xml:space="preserve">Nei primi sei mesi del 2024, il quadro emerso dall’indagine congiunturale della CCIAA per l’economia trentina, evidenzia segni di rallentamento rispetto al medesimo periodo del 2023. Tra i principali macro indicatori economici risultano in flessione gli ordinativi e il fatturato totale delle imprese trentine, con un calo medio, rispettivamente del 7,5%  e dello 0,8% al termine del semestre.   </w:t>
      </w:r>
    </w:p>
    <w:p w14:paraId="58BB3E3E" w14:textId="77777777" w:rsidR="002E1E9C" w:rsidRPr="00F2727D"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F2727D">
        <w:rPr>
          <w:rFonts w:ascii="Times New Roman" w:eastAsia="Times New Roman" w:hAnsi="Times New Roman" w:cs="Times New Roman"/>
          <w:sz w:val="24"/>
          <w:szCs w:val="24"/>
        </w:rPr>
        <w:t>A determinare tale risultato incidono in particolare il calo del fatturato estero nella misura media complessiva del 2,3%, ma anche la flessione della domanda locale, espressa in una perdita media dell’1,7% del fatturato, nonostante la partenza positiva del primo trimestre (+2,6%). Tali flessioni vengono compensate solo parzialmente dalla tenuta della domanda nazionale che determina, invece, un rialzo medio dell’1,2% del fatturato delle imprese trentine.</w:t>
      </w:r>
    </w:p>
    <w:p w14:paraId="224FC257" w14:textId="77777777" w:rsidR="002E1E9C" w:rsidRPr="00F2727D"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F2727D">
        <w:rPr>
          <w:rFonts w:ascii="Times New Roman" w:eastAsia="Times New Roman" w:hAnsi="Times New Roman" w:cs="Times New Roman"/>
          <w:sz w:val="24"/>
          <w:szCs w:val="24"/>
        </w:rPr>
        <w:t xml:space="preserve">Settorialmente, sull’andamento del fatturato totale grava, nel periodo su indicato, la riduzione nel comparto manifatturiero (-4,5%) e nel  commercio all’ingrosso (-0,8%), ma  ancora di più nelle costruzioni (-12,3%), a causa del netto ridimensionamento dell’impulso generato dal “Super bonus 110%” sul mercato interno, nonostante il buon recupero del settore sui mercati esteri (+59,0%). Si rileva, invece, una migliore performance per il fatturato medio del periodo negli altri comparti quali il commercio al dettaglio (+5,2%), i trasporti (+7,4%) e i servizi alle imprese (+8,4%). </w:t>
      </w:r>
    </w:p>
    <w:p w14:paraId="68DF5A12" w14:textId="77777777" w:rsidR="001C7A35" w:rsidRPr="005075DE" w:rsidRDefault="001C7A35"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5075DE">
        <w:rPr>
          <w:rFonts w:ascii="Times New Roman" w:eastAsia="Times New Roman" w:hAnsi="Times New Roman" w:cs="Times New Roman"/>
          <w:sz w:val="24"/>
          <w:szCs w:val="24"/>
        </w:rPr>
        <w:t>Nel periodo gennaio giugno 2024 il valore della produzione cresce dello 0,7%, ma l’aumento si rileva solo nel primo trimestre</w:t>
      </w:r>
      <w:r w:rsidR="005075DE" w:rsidRPr="005075DE">
        <w:rPr>
          <w:rFonts w:ascii="Times New Roman" w:eastAsia="Times New Roman" w:hAnsi="Times New Roman" w:cs="Times New Roman"/>
          <w:sz w:val="24"/>
          <w:szCs w:val="24"/>
        </w:rPr>
        <w:t xml:space="preserve"> (+1,5%)</w:t>
      </w:r>
    </w:p>
    <w:p w14:paraId="5B8F55E7" w14:textId="77777777" w:rsidR="002E1E9C" w:rsidRPr="00F2727D"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F2727D">
        <w:rPr>
          <w:rFonts w:ascii="Times New Roman" w:eastAsia="Times New Roman" w:hAnsi="Times New Roman" w:cs="Times New Roman"/>
          <w:sz w:val="24"/>
          <w:szCs w:val="24"/>
        </w:rPr>
        <w:t xml:space="preserve">Per il turismo prosegue la dinamica ascendente dei movimenti ancorché con ritmi meno accentuati rispetto ai rimbalzi della precedente stagione invernale che ha recuperato - e superato - i livelli  pre-Covid. </w:t>
      </w:r>
    </w:p>
    <w:p w14:paraId="24DF784E" w14:textId="77777777" w:rsidR="002E1E9C" w:rsidRPr="00F2727D"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F2727D">
        <w:rPr>
          <w:rFonts w:ascii="Times New Roman" w:eastAsia="Times New Roman" w:hAnsi="Times New Roman" w:cs="Times New Roman"/>
          <w:sz w:val="24"/>
          <w:szCs w:val="24"/>
        </w:rPr>
        <w:t>Presso le strutture alberghiere ed extralberghiere la crescita complessiva nel periodo dicembre 2023-aprile 2024, è del 2,7% per gli arrivi e del 4,3% per le presenze. Tali incrementi, totalizzano 1.917.776 arrivi e innalzano le presenze a quota di 7.685.742 che è il livello più alto registrato presso le suddette strutture ricettive nell’ultimo decennio.</w:t>
      </w:r>
    </w:p>
    <w:p w14:paraId="2C1705B4" w14:textId="77777777" w:rsidR="002E1E9C" w:rsidRDefault="002E1E9C" w:rsidP="00F2727D">
      <w:p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rPr>
      </w:pPr>
      <w:r w:rsidRPr="00F2727D">
        <w:rPr>
          <w:rFonts w:ascii="Times New Roman" w:eastAsia="Times New Roman" w:hAnsi="Times New Roman" w:cs="Times New Roman"/>
          <w:sz w:val="24"/>
          <w:szCs w:val="24"/>
        </w:rPr>
        <w:t>Il turismo italiano, proveniente in particolare dalle regioni del Centro-Nord, conferma la propria prevalenza quantitativa nonostante una crescita annua relativamente modesta (+0,7% per gli arrivi e +1,5% per le presenze) in confronto agli incrementi</w:t>
      </w:r>
      <w:r w:rsidRPr="005075DE">
        <w:rPr>
          <w:rFonts w:ascii="Times New Roman" w:eastAsia="Times New Roman" w:hAnsi="Times New Roman" w:cs="Times New Roman"/>
          <w:sz w:val="24"/>
          <w:szCs w:val="24"/>
        </w:rPr>
        <w:t xml:space="preserve"> più marcati dei movimenti dall’estero (+6,7% per gli arrivi e +8,0% per le presenze).</w:t>
      </w:r>
      <w:r w:rsidRPr="009F22A7">
        <w:rPr>
          <w:color w:val="000000"/>
          <w:sz w:val="24"/>
          <w:szCs w:val="24"/>
        </w:rPr>
        <w:t xml:space="preserve"> </w:t>
      </w:r>
    </w:p>
    <w:p w14:paraId="0A429B2B" w14:textId="77777777" w:rsidR="007F2798" w:rsidRDefault="007F2798" w:rsidP="002E1E9C">
      <w:pPr>
        <w:pStyle w:val="Testo"/>
        <w:rPr>
          <w:color w:val="000000"/>
          <w:sz w:val="24"/>
          <w:szCs w:val="24"/>
        </w:rPr>
      </w:pPr>
    </w:p>
    <w:p w14:paraId="38476CC1"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 mercato del lavoro secondo le fonti statistiche</w:t>
      </w:r>
    </w:p>
    <w:p w14:paraId="2724016E"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p>
    <w:p w14:paraId="2B57A038"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7614C0">
        <w:rPr>
          <w:rFonts w:ascii="Times New Roman" w:eastAsia="Times New Roman" w:hAnsi="Times New Roman" w:cs="Times New Roman"/>
          <w:sz w:val="24"/>
          <w:szCs w:val="24"/>
        </w:rPr>
        <w:t xml:space="preserve">Tra gennaio e giugno 2024 il mercato del lavoro </w:t>
      </w:r>
      <w:r>
        <w:rPr>
          <w:rFonts w:ascii="Times New Roman" w:eastAsia="Times New Roman" w:hAnsi="Times New Roman" w:cs="Times New Roman"/>
          <w:sz w:val="24"/>
          <w:szCs w:val="24"/>
        </w:rPr>
        <w:t>conferma le</w:t>
      </w:r>
      <w:r w:rsidRPr="007614C0">
        <w:rPr>
          <w:rFonts w:ascii="Times New Roman" w:eastAsia="Times New Roman" w:hAnsi="Times New Roman" w:cs="Times New Roman"/>
          <w:sz w:val="24"/>
          <w:szCs w:val="24"/>
        </w:rPr>
        <w:t xml:space="preserve"> tendenze positive già evidenziate </w:t>
      </w:r>
      <w:r>
        <w:rPr>
          <w:rFonts w:ascii="Times New Roman" w:eastAsia="Times New Roman" w:hAnsi="Times New Roman" w:cs="Times New Roman"/>
          <w:sz w:val="24"/>
          <w:szCs w:val="24"/>
        </w:rPr>
        <w:t>l’anno precedente</w:t>
      </w:r>
      <w:r w:rsidRPr="00761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Rispetto al primo semestre 2023, si contano</w:t>
      </w:r>
      <w:r w:rsidRPr="007614C0">
        <w:rPr>
          <w:rFonts w:ascii="Times New Roman" w:eastAsia="Times New Roman" w:hAnsi="Times New Roman" w:cs="Times New Roman"/>
          <w:sz w:val="24"/>
          <w:szCs w:val="24"/>
        </w:rPr>
        <w:t xml:space="preserve"> 1.400 persone in più </w:t>
      </w:r>
      <w:r>
        <w:rPr>
          <w:rFonts w:ascii="Times New Roman" w:eastAsia="Times New Roman" w:hAnsi="Times New Roman" w:cs="Times New Roman"/>
          <w:sz w:val="24"/>
          <w:szCs w:val="24"/>
        </w:rPr>
        <w:t xml:space="preserve">presenti </w:t>
      </w:r>
      <w:r w:rsidRPr="007614C0">
        <w:rPr>
          <w:rFonts w:ascii="Times New Roman" w:eastAsia="Times New Roman" w:hAnsi="Times New Roman" w:cs="Times New Roman"/>
          <w:sz w:val="24"/>
          <w:szCs w:val="24"/>
        </w:rPr>
        <w:t>sul mercato</w:t>
      </w:r>
      <w:r>
        <w:rPr>
          <w:rFonts w:ascii="Times New Roman" w:eastAsia="Times New Roman" w:hAnsi="Times New Roman" w:cs="Times New Roman"/>
          <w:sz w:val="24"/>
          <w:szCs w:val="24"/>
        </w:rPr>
        <w:t>, che fanno crescere la</w:t>
      </w:r>
      <w:r w:rsidRPr="007614C0">
        <w:rPr>
          <w:rFonts w:ascii="Times New Roman" w:eastAsia="Times New Roman" w:hAnsi="Times New Roman" w:cs="Times New Roman"/>
          <w:sz w:val="24"/>
          <w:szCs w:val="24"/>
        </w:rPr>
        <w:t xml:space="preserve"> partecipazione </w:t>
      </w:r>
      <w:r>
        <w:rPr>
          <w:rFonts w:ascii="Times New Roman" w:eastAsia="Times New Roman" w:hAnsi="Times New Roman" w:cs="Times New Roman"/>
          <w:sz w:val="24"/>
          <w:szCs w:val="24"/>
        </w:rPr>
        <w:t xml:space="preserve">dello 0,5%. </w:t>
      </w:r>
      <w:r w:rsidRPr="007614C0">
        <w:rPr>
          <w:rFonts w:ascii="Times New Roman" w:eastAsia="Times New Roman" w:hAnsi="Times New Roman" w:cs="Times New Roman"/>
          <w:sz w:val="24"/>
          <w:szCs w:val="24"/>
        </w:rPr>
        <w:t>Gli occupati aumenta</w:t>
      </w:r>
      <w:r>
        <w:rPr>
          <w:rFonts w:ascii="Times New Roman" w:eastAsia="Times New Roman" w:hAnsi="Times New Roman" w:cs="Times New Roman"/>
          <w:sz w:val="24"/>
          <w:szCs w:val="24"/>
        </w:rPr>
        <w:t>no</w:t>
      </w:r>
      <w:r w:rsidRPr="007614C0">
        <w:rPr>
          <w:rFonts w:ascii="Times New Roman" w:eastAsia="Times New Roman" w:hAnsi="Times New Roman" w:cs="Times New Roman"/>
          <w:sz w:val="24"/>
          <w:szCs w:val="24"/>
        </w:rPr>
        <w:t xml:space="preserve"> dell'1,3% e le persone in cerca di lavoro </w:t>
      </w:r>
      <w:r>
        <w:rPr>
          <w:rFonts w:ascii="Times New Roman" w:eastAsia="Times New Roman" w:hAnsi="Times New Roman" w:cs="Times New Roman"/>
          <w:sz w:val="24"/>
          <w:szCs w:val="24"/>
        </w:rPr>
        <w:t>calano</w:t>
      </w:r>
      <w:r w:rsidRPr="007614C0">
        <w:rPr>
          <w:rFonts w:ascii="Times New Roman" w:eastAsia="Times New Roman" w:hAnsi="Times New Roman" w:cs="Times New Roman"/>
          <w:sz w:val="24"/>
          <w:szCs w:val="24"/>
        </w:rPr>
        <w:t xml:space="preserve"> di quasi il 19%</w:t>
      </w:r>
      <w:r>
        <w:rPr>
          <w:rFonts w:ascii="Times New Roman" w:eastAsia="Times New Roman" w:hAnsi="Times New Roman" w:cs="Times New Roman"/>
          <w:sz w:val="24"/>
          <w:szCs w:val="24"/>
        </w:rPr>
        <w:t xml:space="preserve"> (Tab. 3)</w:t>
      </w:r>
      <w:r w:rsidRPr="00761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 registra anche </w:t>
      </w:r>
      <w:r w:rsidRPr="008336AC">
        <w:rPr>
          <w:rFonts w:ascii="Times New Roman" w:eastAsia="Times New Roman" w:hAnsi="Times New Roman" w:cs="Times New Roman"/>
          <w:sz w:val="24"/>
          <w:szCs w:val="24"/>
        </w:rPr>
        <w:t xml:space="preserve">un lieve </w:t>
      </w:r>
      <w:r>
        <w:rPr>
          <w:rFonts w:ascii="Times New Roman" w:eastAsia="Times New Roman" w:hAnsi="Times New Roman" w:cs="Times New Roman"/>
          <w:sz w:val="24"/>
          <w:szCs w:val="24"/>
        </w:rPr>
        <w:t>incremento</w:t>
      </w:r>
      <w:r w:rsidRPr="008336AC">
        <w:rPr>
          <w:rFonts w:ascii="Times New Roman" w:eastAsia="Times New Roman" w:hAnsi="Times New Roman" w:cs="Times New Roman"/>
          <w:sz w:val="24"/>
          <w:szCs w:val="24"/>
        </w:rPr>
        <w:t xml:space="preserve"> degli inattivi (+0,3%)</w:t>
      </w:r>
      <w:r>
        <w:rPr>
          <w:rFonts w:ascii="Times New Roman" w:eastAsia="Times New Roman" w:hAnsi="Times New Roman" w:cs="Times New Roman"/>
          <w:sz w:val="24"/>
          <w:szCs w:val="24"/>
        </w:rPr>
        <w:t xml:space="preserve">. </w:t>
      </w:r>
      <w:r w:rsidRPr="008336AC">
        <w:rPr>
          <w:rFonts w:ascii="Times New Roman" w:eastAsia="Times New Roman" w:hAnsi="Times New Roman" w:cs="Times New Roman"/>
          <w:sz w:val="24"/>
          <w:szCs w:val="24"/>
        </w:rPr>
        <w:t>Nel semestre</w:t>
      </w:r>
      <w:r>
        <w:rPr>
          <w:rFonts w:ascii="Times New Roman" w:eastAsia="Times New Roman" w:hAnsi="Times New Roman" w:cs="Times New Roman"/>
          <w:sz w:val="24"/>
          <w:szCs w:val="24"/>
        </w:rPr>
        <w:t>,</w:t>
      </w:r>
      <w:r w:rsidRPr="008336AC">
        <w:rPr>
          <w:rFonts w:ascii="Times New Roman" w:eastAsia="Times New Roman" w:hAnsi="Times New Roman" w:cs="Times New Roman"/>
          <w:sz w:val="24"/>
          <w:szCs w:val="24"/>
        </w:rPr>
        <w:t xml:space="preserve"> il numero degli occupati è salito a oltre 246.000 persone, raggiungendo il livello più alto degli ultimi sei anni (per quanto riguarda il periodo gennaio-giugno). La crescita ha interessato sia le donne (+1,6%)</w:t>
      </w:r>
      <w:r w:rsidR="00F60B6A">
        <w:rPr>
          <w:rFonts w:ascii="Times New Roman" w:eastAsia="Times New Roman" w:hAnsi="Times New Roman" w:cs="Times New Roman"/>
          <w:sz w:val="24"/>
          <w:szCs w:val="24"/>
        </w:rPr>
        <w:t>,</w:t>
      </w:r>
      <w:r w:rsidRPr="008336AC">
        <w:rPr>
          <w:rFonts w:ascii="Times New Roman" w:eastAsia="Times New Roman" w:hAnsi="Times New Roman" w:cs="Times New Roman"/>
          <w:sz w:val="24"/>
          <w:szCs w:val="24"/>
        </w:rPr>
        <w:t xml:space="preserve"> che gli uomini (+1,2%).</w:t>
      </w:r>
      <w:r>
        <w:rPr>
          <w:rFonts w:ascii="Times New Roman" w:eastAsia="Times New Roman" w:hAnsi="Times New Roman" w:cs="Times New Roman"/>
          <w:sz w:val="24"/>
          <w:szCs w:val="24"/>
        </w:rPr>
        <w:t xml:space="preserve"> </w:t>
      </w:r>
    </w:p>
    <w:p w14:paraId="5BAA5437"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L’incremento ha coinvolto solo i</w:t>
      </w:r>
      <w:r w:rsidRPr="00262EC0">
        <w:rPr>
          <w:rFonts w:ascii="Times New Roman" w:eastAsia="Times New Roman" w:hAnsi="Times New Roman" w:cs="Times New Roman"/>
          <w:sz w:val="24"/>
          <w:szCs w:val="24"/>
        </w:rPr>
        <w:t xml:space="preserve"> lavoratori autonomi </w:t>
      </w:r>
      <w:r>
        <w:rPr>
          <w:rFonts w:ascii="Times New Roman" w:eastAsia="Times New Roman" w:hAnsi="Times New Roman" w:cs="Times New Roman"/>
          <w:sz w:val="24"/>
          <w:szCs w:val="24"/>
        </w:rPr>
        <w:t>(+</w:t>
      </w:r>
      <w:r w:rsidRPr="00262EC0">
        <w:rPr>
          <w:rFonts w:ascii="Times New Roman" w:eastAsia="Times New Roman" w:hAnsi="Times New Roman" w:cs="Times New Roman"/>
          <w:sz w:val="24"/>
          <w:szCs w:val="24"/>
        </w:rPr>
        <w:t>7,0%</w:t>
      </w:r>
      <w:r>
        <w:rPr>
          <w:rFonts w:ascii="Times New Roman" w:eastAsia="Times New Roman" w:hAnsi="Times New Roman" w:cs="Times New Roman"/>
          <w:sz w:val="24"/>
          <w:szCs w:val="24"/>
        </w:rPr>
        <w:t>), che hanno toccato il numero di 48.100 e la quota</w:t>
      </w:r>
      <w:r w:rsidRPr="00262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w:t>
      </w:r>
      <w:r w:rsidRPr="00262EC0">
        <w:rPr>
          <w:rFonts w:ascii="Times New Roman" w:eastAsia="Times New Roman" w:hAnsi="Times New Roman" w:cs="Times New Roman"/>
          <w:sz w:val="24"/>
          <w:szCs w:val="24"/>
        </w:rPr>
        <w:t xml:space="preserve"> 19,5% degli occupati. </w:t>
      </w:r>
      <w:r>
        <w:rPr>
          <w:rFonts w:ascii="Times New Roman" w:eastAsia="Times New Roman" w:hAnsi="Times New Roman" w:cs="Times New Roman"/>
          <w:sz w:val="24"/>
          <w:szCs w:val="24"/>
        </w:rPr>
        <w:t>I</w:t>
      </w:r>
      <w:r w:rsidRPr="00262EC0">
        <w:rPr>
          <w:rFonts w:ascii="Times New Roman" w:eastAsia="Times New Roman" w:hAnsi="Times New Roman" w:cs="Times New Roman"/>
          <w:sz w:val="24"/>
          <w:szCs w:val="24"/>
        </w:rPr>
        <w:t xml:space="preserve"> lavoratori dipendenti </w:t>
      </w:r>
      <w:r>
        <w:rPr>
          <w:rFonts w:ascii="Times New Roman" w:eastAsia="Times New Roman" w:hAnsi="Times New Roman" w:cs="Times New Roman"/>
          <w:sz w:val="24"/>
          <w:szCs w:val="24"/>
        </w:rPr>
        <w:t>sono</w:t>
      </w:r>
      <w:r w:rsidRPr="00262EC0">
        <w:rPr>
          <w:rFonts w:ascii="Times New Roman" w:eastAsia="Times New Roman" w:hAnsi="Times New Roman" w:cs="Times New Roman"/>
          <w:sz w:val="24"/>
          <w:szCs w:val="24"/>
        </w:rPr>
        <w:t xml:space="preserve"> rimast</w:t>
      </w:r>
      <w:r>
        <w:rPr>
          <w:rFonts w:ascii="Times New Roman" w:eastAsia="Times New Roman" w:hAnsi="Times New Roman" w:cs="Times New Roman"/>
          <w:sz w:val="24"/>
          <w:szCs w:val="24"/>
        </w:rPr>
        <w:t>i</w:t>
      </w:r>
      <w:r w:rsidRPr="00262EC0">
        <w:rPr>
          <w:rFonts w:ascii="Times New Roman" w:eastAsia="Times New Roman" w:hAnsi="Times New Roman" w:cs="Times New Roman"/>
          <w:sz w:val="24"/>
          <w:szCs w:val="24"/>
        </w:rPr>
        <w:t xml:space="preserve"> praticamente </w:t>
      </w:r>
      <w:r>
        <w:rPr>
          <w:rFonts w:ascii="Times New Roman" w:eastAsia="Times New Roman" w:hAnsi="Times New Roman" w:cs="Times New Roman"/>
          <w:sz w:val="24"/>
          <w:szCs w:val="24"/>
        </w:rPr>
        <w:t>al livello di un anno prima: con una crescita di sole 100 unità,</w:t>
      </w:r>
      <w:r w:rsidRPr="00262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 loro numero si attesta ora a 198.200 </w:t>
      </w:r>
      <w:r w:rsidRPr="00262EC0">
        <w:rPr>
          <w:rFonts w:ascii="Times New Roman" w:eastAsia="Times New Roman" w:hAnsi="Times New Roman" w:cs="Times New Roman"/>
          <w:sz w:val="24"/>
          <w:szCs w:val="24"/>
        </w:rPr>
        <w:t>(+0,1</w:t>
      </w:r>
      <w:r>
        <w:rPr>
          <w:rFonts w:ascii="Times New Roman" w:eastAsia="Times New Roman" w:hAnsi="Times New Roman" w:cs="Times New Roman"/>
          <w:sz w:val="24"/>
          <w:szCs w:val="24"/>
        </w:rPr>
        <w:t>%</w:t>
      </w:r>
      <w:r w:rsidRPr="00262EC0">
        <w:rPr>
          <w:rFonts w:ascii="Times New Roman" w:eastAsia="Times New Roman" w:hAnsi="Times New Roman" w:cs="Times New Roman"/>
          <w:sz w:val="24"/>
          <w:szCs w:val="24"/>
        </w:rPr>
        <w:t>).</w:t>
      </w:r>
    </w:p>
    <w:p w14:paraId="306DB3F3" w14:textId="77777777" w:rsidR="007F2798" w:rsidRPr="008336AC"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2E5565">
        <w:rPr>
          <w:rFonts w:ascii="Times New Roman" w:eastAsia="Times New Roman" w:hAnsi="Times New Roman" w:cs="Times New Roman"/>
          <w:sz w:val="24"/>
          <w:szCs w:val="24"/>
        </w:rPr>
        <w:t>Tutti i settori economici hanno contribuito a</w:t>
      </w:r>
      <w:r>
        <w:rPr>
          <w:rFonts w:ascii="Times New Roman" w:eastAsia="Times New Roman" w:hAnsi="Times New Roman" w:cs="Times New Roman"/>
          <w:sz w:val="24"/>
          <w:szCs w:val="24"/>
        </w:rPr>
        <w:t>lla</w:t>
      </w:r>
      <w:r w:rsidRPr="002E5565">
        <w:rPr>
          <w:rFonts w:ascii="Times New Roman" w:eastAsia="Times New Roman" w:hAnsi="Times New Roman" w:cs="Times New Roman"/>
          <w:sz w:val="24"/>
          <w:szCs w:val="24"/>
        </w:rPr>
        <w:t xml:space="preserve"> crescita, con </w:t>
      </w:r>
      <w:r>
        <w:rPr>
          <w:rFonts w:ascii="Times New Roman" w:eastAsia="Times New Roman" w:hAnsi="Times New Roman" w:cs="Times New Roman"/>
          <w:sz w:val="24"/>
          <w:szCs w:val="24"/>
        </w:rPr>
        <w:t xml:space="preserve">un maggior dinamismo per </w:t>
      </w:r>
      <w:r w:rsidRPr="002E5565">
        <w:rPr>
          <w:rFonts w:ascii="Times New Roman" w:eastAsia="Times New Roman" w:hAnsi="Times New Roman" w:cs="Times New Roman"/>
          <w:sz w:val="24"/>
          <w:szCs w:val="24"/>
        </w:rPr>
        <w:t xml:space="preserve">l'agricoltura </w:t>
      </w:r>
      <w:r>
        <w:rPr>
          <w:rFonts w:ascii="Times New Roman" w:eastAsia="Times New Roman" w:hAnsi="Times New Roman" w:cs="Times New Roman"/>
          <w:sz w:val="24"/>
          <w:szCs w:val="24"/>
        </w:rPr>
        <w:t>(+</w:t>
      </w:r>
      <w:r w:rsidRPr="002E5565">
        <w:rPr>
          <w:rFonts w:ascii="Times New Roman" w:eastAsia="Times New Roman" w:hAnsi="Times New Roman" w:cs="Times New Roman"/>
          <w:sz w:val="24"/>
          <w:szCs w:val="24"/>
        </w:rPr>
        <w:t>13,5%</w:t>
      </w:r>
      <w:r>
        <w:rPr>
          <w:rFonts w:ascii="Times New Roman" w:eastAsia="Times New Roman" w:hAnsi="Times New Roman" w:cs="Times New Roman"/>
          <w:sz w:val="24"/>
          <w:szCs w:val="24"/>
        </w:rPr>
        <w:t>)</w:t>
      </w:r>
      <w:r w:rsidRPr="002E55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Nel</w:t>
      </w:r>
      <w:r w:rsidRPr="002E5565">
        <w:rPr>
          <w:rFonts w:ascii="Times New Roman" w:eastAsia="Times New Roman" w:hAnsi="Times New Roman" w:cs="Times New Roman"/>
          <w:sz w:val="24"/>
          <w:szCs w:val="24"/>
        </w:rPr>
        <w:t xml:space="preserve"> secondario</w:t>
      </w:r>
      <w:r>
        <w:rPr>
          <w:rFonts w:ascii="Times New Roman" w:eastAsia="Times New Roman" w:hAnsi="Times New Roman" w:cs="Times New Roman"/>
          <w:sz w:val="24"/>
          <w:szCs w:val="24"/>
        </w:rPr>
        <w:t>, gli occupati sono aumentati</w:t>
      </w:r>
      <w:r w:rsidRPr="002E5565">
        <w:rPr>
          <w:rFonts w:ascii="Times New Roman" w:eastAsia="Times New Roman" w:hAnsi="Times New Roman" w:cs="Times New Roman"/>
          <w:sz w:val="24"/>
          <w:szCs w:val="24"/>
        </w:rPr>
        <w:t xml:space="preserve"> del 2,2%, </w:t>
      </w:r>
      <w:r>
        <w:rPr>
          <w:rFonts w:ascii="Times New Roman" w:eastAsia="Times New Roman" w:hAnsi="Times New Roman" w:cs="Times New Roman"/>
          <w:sz w:val="24"/>
          <w:szCs w:val="24"/>
        </w:rPr>
        <w:t xml:space="preserve">grazie al buon andamento </w:t>
      </w:r>
      <w:r w:rsidRPr="002E5565">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2E5565">
        <w:rPr>
          <w:rFonts w:ascii="Times New Roman" w:eastAsia="Times New Roman" w:hAnsi="Times New Roman" w:cs="Times New Roman"/>
          <w:sz w:val="24"/>
          <w:szCs w:val="24"/>
        </w:rPr>
        <w:t xml:space="preserve">lle </w:t>
      </w:r>
      <w:r w:rsidRPr="002E5565">
        <w:rPr>
          <w:rFonts w:ascii="Times New Roman" w:eastAsia="Times New Roman" w:hAnsi="Times New Roman" w:cs="Times New Roman"/>
          <w:sz w:val="24"/>
          <w:szCs w:val="24"/>
        </w:rPr>
        <w:lastRenderedPageBreak/>
        <w:t xml:space="preserve">costruzioni (+25,6%), </w:t>
      </w:r>
      <w:r>
        <w:rPr>
          <w:rFonts w:ascii="Times New Roman" w:eastAsia="Times New Roman" w:hAnsi="Times New Roman" w:cs="Times New Roman"/>
          <w:sz w:val="24"/>
          <w:szCs w:val="24"/>
        </w:rPr>
        <w:t>che hanno compensato la flessione</w:t>
      </w:r>
      <w:r w:rsidRPr="002E55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w:t>
      </w:r>
      <w:r w:rsidRPr="002E5565">
        <w:rPr>
          <w:rFonts w:ascii="Times New Roman" w:eastAsia="Times New Roman" w:hAnsi="Times New Roman" w:cs="Times New Roman"/>
          <w:sz w:val="24"/>
          <w:szCs w:val="24"/>
        </w:rPr>
        <w:t xml:space="preserve"> manifattur</w:t>
      </w:r>
      <w:r>
        <w:rPr>
          <w:rFonts w:ascii="Times New Roman" w:eastAsia="Times New Roman" w:hAnsi="Times New Roman" w:cs="Times New Roman"/>
          <w:sz w:val="24"/>
          <w:szCs w:val="24"/>
        </w:rPr>
        <w:t>iero e dell’estrattivo, complessivamente in calo del 5,2%.</w:t>
      </w:r>
      <w:r w:rsidRPr="002E5565">
        <w:rPr>
          <w:rFonts w:ascii="Times New Roman" w:eastAsia="Times New Roman" w:hAnsi="Times New Roman" w:cs="Times New Roman"/>
          <w:sz w:val="24"/>
          <w:szCs w:val="24"/>
        </w:rPr>
        <w:t xml:space="preserve"> Il terziario</w:t>
      </w:r>
      <w:r>
        <w:rPr>
          <w:rFonts w:ascii="Times New Roman" w:eastAsia="Times New Roman" w:hAnsi="Times New Roman" w:cs="Times New Roman"/>
          <w:sz w:val="24"/>
          <w:szCs w:val="24"/>
        </w:rPr>
        <w:t xml:space="preserve"> si mostra sostanzialmente </w:t>
      </w:r>
      <w:r w:rsidRPr="002E5565">
        <w:rPr>
          <w:rFonts w:ascii="Times New Roman" w:eastAsia="Times New Roman" w:hAnsi="Times New Roman" w:cs="Times New Roman"/>
          <w:sz w:val="24"/>
          <w:szCs w:val="24"/>
        </w:rPr>
        <w:t xml:space="preserve">stabile (+0,4%), </w:t>
      </w:r>
      <w:r>
        <w:rPr>
          <w:rFonts w:ascii="Times New Roman" w:eastAsia="Times New Roman" w:hAnsi="Times New Roman" w:cs="Times New Roman"/>
          <w:sz w:val="24"/>
          <w:szCs w:val="24"/>
        </w:rPr>
        <w:t xml:space="preserve">in conseguenza dell’aumento di occupati nel comparto </w:t>
      </w:r>
      <w:r w:rsidRPr="002E5565">
        <w:rPr>
          <w:rFonts w:ascii="Times New Roman" w:eastAsia="Times New Roman" w:hAnsi="Times New Roman" w:cs="Times New Roman"/>
          <w:sz w:val="24"/>
          <w:szCs w:val="24"/>
        </w:rPr>
        <w:t>commercio, alberghi e ristora</w:t>
      </w:r>
      <w:r>
        <w:rPr>
          <w:rFonts w:ascii="Times New Roman" w:eastAsia="Times New Roman" w:hAnsi="Times New Roman" w:cs="Times New Roman"/>
          <w:sz w:val="24"/>
          <w:szCs w:val="24"/>
        </w:rPr>
        <w:t>nti (+10,9%)</w:t>
      </w:r>
      <w:r w:rsidRPr="002E55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del calo del 3,3% nel</w:t>
      </w:r>
      <w:r w:rsidRPr="002E5565">
        <w:rPr>
          <w:rFonts w:ascii="Times New Roman" w:eastAsia="Times New Roman" w:hAnsi="Times New Roman" w:cs="Times New Roman"/>
          <w:sz w:val="24"/>
          <w:szCs w:val="24"/>
        </w:rPr>
        <w:t>le altre attività</w:t>
      </w:r>
      <w:r>
        <w:rPr>
          <w:rFonts w:ascii="Times New Roman" w:eastAsia="Times New Roman" w:hAnsi="Times New Roman" w:cs="Times New Roman"/>
          <w:sz w:val="24"/>
          <w:szCs w:val="24"/>
        </w:rPr>
        <w:t xml:space="preserve">. </w:t>
      </w:r>
    </w:p>
    <w:p w14:paraId="7B9D2F51" w14:textId="77777777" w:rsidR="007F2798" w:rsidRPr="00B754CB"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B754CB">
        <w:rPr>
          <w:rFonts w:ascii="Times New Roman" w:eastAsia="Times New Roman" w:hAnsi="Times New Roman" w:cs="Times New Roman"/>
          <w:sz w:val="24"/>
          <w:szCs w:val="24"/>
        </w:rPr>
        <w:t xml:space="preserve">Sul fronte della disoccupazione, il calo è stato </w:t>
      </w:r>
      <w:r>
        <w:rPr>
          <w:rFonts w:ascii="Times New Roman" w:eastAsia="Times New Roman" w:hAnsi="Times New Roman" w:cs="Times New Roman"/>
          <w:sz w:val="24"/>
          <w:szCs w:val="24"/>
        </w:rPr>
        <w:t>agevolato</w:t>
      </w:r>
      <w:r w:rsidRPr="00B754CB">
        <w:rPr>
          <w:rFonts w:ascii="Times New Roman" w:eastAsia="Times New Roman" w:hAnsi="Times New Roman" w:cs="Times New Roman"/>
          <w:sz w:val="24"/>
          <w:szCs w:val="24"/>
        </w:rPr>
        <w:t xml:space="preserve"> principalmente dalla componente femminile, che ha ridotto lo stock di persone in cerca di lavoro di 1.600 unità, per una variazione del -28,8%. Tra gli uomini la contrazione si è fermata al -6,9%. Nel semestre</w:t>
      </w:r>
      <w:r>
        <w:rPr>
          <w:rFonts w:ascii="Times New Roman" w:eastAsia="Times New Roman" w:hAnsi="Times New Roman" w:cs="Times New Roman"/>
          <w:sz w:val="24"/>
          <w:szCs w:val="24"/>
        </w:rPr>
        <w:t>,</w:t>
      </w:r>
      <w:r w:rsidRPr="00B754CB">
        <w:rPr>
          <w:rFonts w:ascii="Times New Roman" w:eastAsia="Times New Roman" w:hAnsi="Times New Roman" w:cs="Times New Roman"/>
          <w:sz w:val="24"/>
          <w:szCs w:val="24"/>
        </w:rPr>
        <w:t xml:space="preserve"> lo stock medio di disoccupati si è attestato a 8.100 soggetti, 1.900 in meno rispetto allo stesso periodo di un anno prima.  </w:t>
      </w:r>
    </w:p>
    <w:p w14:paraId="582D1F8D" w14:textId="77777777" w:rsidR="007F2798" w:rsidRPr="00C5676A"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sz w:val="24"/>
          <w:szCs w:val="24"/>
        </w:rPr>
      </w:pPr>
      <w:r w:rsidRPr="00C5676A">
        <w:rPr>
          <w:rFonts w:ascii="Times New Roman" w:eastAsia="Times New Roman" w:hAnsi="Times New Roman" w:cs="Times New Roman"/>
          <w:sz w:val="24"/>
          <w:szCs w:val="24"/>
        </w:rPr>
        <w:t xml:space="preserve">Gli indicatori sintetici confermano il buon momento del mercato del lavoro. Il tasso di attività si mantiene sostanzialmente stabile, con un incremento di 0,2 punti percentuali. Il tasso di </w:t>
      </w:r>
      <w:r w:rsidR="009940D8">
        <w:rPr>
          <w:rFonts w:ascii="Times New Roman" w:eastAsia="Times New Roman" w:hAnsi="Times New Roman" w:cs="Times New Roman"/>
          <w:sz w:val="24"/>
          <w:szCs w:val="24"/>
        </w:rPr>
        <w:t>occupazione è più elevato di 0,7</w:t>
      </w:r>
      <w:r w:rsidRPr="00C5676A">
        <w:rPr>
          <w:rFonts w:ascii="Times New Roman" w:eastAsia="Times New Roman" w:hAnsi="Times New Roman" w:cs="Times New Roman"/>
          <w:sz w:val="24"/>
          <w:szCs w:val="24"/>
        </w:rPr>
        <w:t xml:space="preserve"> punti, grazie soprattutto al contributo delle donne, che  mantengono però un discreto differenziale rispetto al dato maschile. Sul versante della disoccupazione, invece, il contributo risulta decisivo per abbattere il tasso complessivo di 0,8 punti percentuali. I valori del primo semestre 2024 si attestano al 72,7% per il tasso di attività, al 70,3% per quello di occupazione, mentre l’indicatore della disoccupazione scende al 3,2%.</w:t>
      </w:r>
    </w:p>
    <w:p w14:paraId="56203811"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p>
    <w:p w14:paraId="2D13C7D5"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Gli occupati dipendenti secondo le fonti amministrative</w:t>
      </w:r>
    </w:p>
    <w:p w14:paraId="6AE6002E"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p>
    <w:p w14:paraId="14A1E1B2"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L’occupazione dipendente, monitorata attraverso </w:t>
      </w:r>
      <w:r w:rsidRPr="005932AA">
        <w:rPr>
          <w:rFonts w:ascii="Times New Roman" w:eastAsia="Times New Roman" w:hAnsi="Times New Roman" w:cs="Times New Roman"/>
          <w:color w:val="000000"/>
          <w:sz w:val="24"/>
          <w:szCs w:val="24"/>
        </w:rPr>
        <w:t>i dati delle Comunicazioni Obbligatorie</w:t>
      </w:r>
      <w:r>
        <w:rPr>
          <w:rFonts w:ascii="Times New Roman" w:eastAsia="Times New Roman" w:hAnsi="Times New Roman" w:cs="Times New Roman"/>
          <w:color w:val="000000"/>
          <w:sz w:val="24"/>
          <w:szCs w:val="24"/>
        </w:rPr>
        <w:t>,</w:t>
      </w:r>
      <w:r w:rsidRPr="005932AA">
        <w:rPr>
          <w:rFonts w:ascii="Times New Roman" w:eastAsia="Times New Roman" w:hAnsi="Times New Roman" w:cs="Times New Roman"/>
          <w:color w:val="000000"/>
          <w:sz w:val="24"/>
          <w:szCs w:val="24"/>
        </w:rPr>
        <w:t xml:space="preserve"> conferma</w:t>
      </w:r>
      <w:r>
        <w:rPr>
          <w:rFonts w:ascii="Times New Roman" w:eastAsia="Times New Roman" w:hAnsi="Times New Roman" w:cs="Times New Roman"/>
          <w:color w:val="000000"/>
          <w:sz w:val="24"/>
          <w:szCs w:val="24"/>
        </w:rPr>
        <w:t xml:space="preserve"> anche nel 2024</w:t>
      </w:r>
      <w:r w:rsidRPr="005932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quella </w:t>
      </w:r>
      <w:r w:rsidRPr="005932AA">
        <w:rPr>
          <w:rFonts w:ascii="Times New Roman" w:eastAsia="Times New Roman" w:hAnsi="Times New Roman" w:cs="Times New Roman"/>
          <w:color w:val="000000"/>
          <w:sz w:val="24"/>
          <w:szCs w:val="24"/>
        </w:rPr>
        <w:t xml:space="preserve">tendenza </w:t>
      </w:r>
      <w:r>
        <w:rPr>
          <w:rFonts w:ascii="Times New Roman" w:eastAsia="Times New Roman" w:hAnsi="Times New Roman" w:cs="Times New Roman"/>
          <w:color w:val="000000"/>
          <w:sz w:val="24"/>
          <w:szCs w:val="24"/>
        </w:rPr>
        <w:t>alla crescita</w:t>
      </w:r>
      <w:r w:rsidRPr="005932AA">
        <w:rPr>
          <w:rFonts w:ascii="Times New Roman" w:eastAsia="Times New Roman" w:hAnsi="Times New Roman" w:cs="Times New Roman"/>
          <w:color w:val="000000"/>
          <w:sz w:val="24"/>
          <w:szCs w:val="24"/>
        </w:rPr>
        <w:t xml:space="preserve"> che si è consolidata nel periodo post-Covid</w:t>
      </w:r>
      <w:r>
        <w:rPr>
          <w:rFonts w:ascii="Times New Roman" w:eastAsia="Times New Roman" w:hAnsi="Times New Roman" w:cs="Times New Roman"/>
          <w:color w:val="000000"/>
          <w:sz w:val="24"/>
          <w:szCs w:val="24"/>
        </w:rPr>
        <w:t>. Da gennaio a giugno si contano in media</w:t>
      </w:r>
      <w:r w:rsidRPr="0017311C">
        <w:rPr>
          <w:rFonts w:ascii="Times New Roman" w:eastAsia="Times New Roman" w:hAnsi="Times New Roman" w:cs="Times New Roman"/>
          <w:color w:val="000000"/>
          <w:sz w:val="24"/>
          <w:szCs w:val="24"/>
        </w:rPr>
        <w:t xml:space="preserve"> 217.590</w:t>
      </w:r>
      <w:r>
        <w:rPr>
          <w:rFonts w:ascii="Times New Roman" w:eastAsia="Times New Roman" w:hAnsi="Times New Roman" w:cs="Times New Roman"/>
          <w:color w:val="000000"/>
          <w:sz w:val="24"/>
          <w:szCs w:val="24"/>
        </w:rPr>
        <w:t xml:space="preserve"> occupati</w:t>
      </w:r>
      <w:r w:rsidRPr="001731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per </w:t>
      </w:r>
      <w:r w:rsidRPr="0017311C">
        <w:rPr>
          <w:rFonts w:ascii="Times New Roman" w:eastAsia="Times New Roman" w:hAnsi="Times New Roman" w:cs="Times New Roman"/>
          <w:color w:val="000000"/>
          <w:sz w:val="24"/>
          <w:szCs w:val="24"/>
        </w:rPr>
        <w:t>un aumento del 3,0%</w:t>
      </w:r>
      <w:r>
        <w:rPr>
          <w:rFonts w:ascii="Times New Roman" w:eastAsia="Times New Roman" w:hAnsi="Times New Roman" w:cs="Times New Roman"/>
          <w:color w:val="000000"/>
          <w:sz w:val="24"/>
          <w:szCs w:val="24"/>
        </w:rPr>
        <w:t xml:space="preserve"> rispetto allo stock del primo semestre 2023 (Tab. 5). </w:t>
      </w:r>
      <w:r w:rsidRPr="0017311C">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gruppi più coinvolti in questo andamento</w:t>
      </w:r>
      <w:r w:rsidRPr="001731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sono le donne</w:t>
      </w:r>
      <w:r w:rsidR="00440B52">
        <w:rPr>
          <w:rFonts w:ascii="Times New Roman" w:eastAsia="Times New Roman" w:hAnsi="Times New Roman" w:cs="Times New Roman"/>
          <w:color w:val="000000"/>
          <w:sz w:val="24"/>
          <w:szCs w:val="24"/>
        </w:rPr>
        <w:t xml:space="preserve"> (+3,3</w:t>
      </w:r>
      <w:r w:rsidRPr="001731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i giovani</w:t>
      </w:r>
      <w:r w:rsidRPr="001731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 meno di</w:t>
      </w:r>
      <w:r w:rsidRPr="0017311C">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rPr>
        <w:t xml:space="preserve"> anni (+3,9%) i lavoratori di almeno 55 anni (+7,9%) e gli stranieri (+5,2%)</w:t>
      </w:r>
      <w:r w:rsidRPr="001731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 ogni modo, per nessuno di questi raggruppamenti si rilevano segni negativi.</w:t>
      </w:r>
    </w:p>
    <w:p w14:paraId="215C1C3E"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 i settori di attività si distingue il terziario, che accresce del 3,7% il numero di occupati, grazie ad un movimento particolarmente sostenuto nell’ambito dei pubblici esercizi, che fanno registrare un incremento del 6,0%. Gli occupati del secondario crescono dell’1,6%, a motivo dell’incremento nelle costruzioni e nel manifatturiero, mentre cedono posizioni (</w:t>
      </w:r>
      <w:r>
        <w:rPr>
          <w:rFonts w:ascii="Times New Roman" w:eastAsia="Times New Roman" w:hAnsi="Times New Roman" w:cs="Times New Roman"/>
          <w:color w:val="000000"/>
          <w:sz w:val="24"/>
          <w:szCs w:val="24"/>
        </w:rPr>
        <w:noBreakHyphen/>
        <w:t xml:space="preserve">0,6%) nell’estrattivo, che peraltro riveste un peso modesto nella composizione generale del settore. Conferma la posizione di un anno prima l’agricoltura, settore che rileva una minima flessione (-0,2%). </w:t>
      </w:r>
    </w:p>
    <w:p w14:paraId="65B4414D"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livello di tipologie contrattuali, le posizioni a termine crescono più di quelle stabili, con una variazione, rispettivamente, del +5,9% e del +2,3%. Il risultato migliore si associa al contratto a tempo determinato (+6,9%), che nel 2024 è applicato a più di otto lavoratori a termine su dieci. Il contratto più utilizzato rimane però quello a tempo indeterminato che coinvolge circa tre quarti di tutti gli occupati alle dipendenze.</w:t>
      </w:r>
    </w:p>
    <w:p w14:paraId="4F3A0B73" w14:textId="77777777" w:rsidR="007F2798" w:rsidRPr="009F22A7" w:rsidRDefault="007F2798" w:rsidP="007F2798">
      <w:pPr>
        <w:pStyle w:val="Testo"/>
        <w:rPr>
          <w:color w:val="000000"/>
          <w:sz w:val="24"/>
          <w:szCs w:val="24"/>
        </w:rPr>
      </w:pPr>
      <w:r>
        <w:rPr>
          <w:color w:val="000000"/>
          <w:sz w:val="24"/>
          <w:szCs w:val="24"/>
        </w:rPr>
        <w:t>Per quanto riguarda</w:t>
      </w:r>
      <w:r w:rsidRPr="00634337">
        <w:rPr>
          <w:color w:val="000000"/>
          <w:sz w:val="24"/>
          <w:szCs w:val="24"/>
        </w:rPr>
        <w:t xml:space="preserve"> </w:t>
      </w:r>
      <w:r>
        <w:rPr>
          <w:color w:val="000000"/>
          <w:sz w:val="24"/>
          <w:szCs w:val="24"/>
        </w:rPr>
        <w:t xml:space="preserve">le figure </w:t>
      </w:r>
      <w:r w:rsidRPr="00634337">
        <w:rPr>
          <w:color w:val="000000"/>
          <w:sz w:val="24"/>
          <w:szCs w:val="24"/>
        </w:rPr>
        <w:t xml:space="preserve">professionali, si </w:t>
      </w:r>
      <w:r>
        <w:rPr>
          <w:color w:val="000000"/>
          <w:sz w:val="24"/>
          <w:szCs w:val="24"/>
        </w:rPr>
        <w:t>rafforzano del 4,8% gli occupati del gruppo intermedio (</w:t>
      </w:r>
      <w:r w:rsidRPr="00634337">
        <w:rPr>
          <w:i/>
          <w:color w:val="000000"/>
          <w:sz w:val="24"/>
          <w:szCs w:val="24"/>
        </w:rPr>
        <w:t>medium skill</w:t>
      </w:r>
      <w:r>
        <w:rPr>
          <w:color w:val="000000"/>
          <w:sz w:val="24"/>
          <w:szCs w:val="24"/>
        </w:rPr>
        <w:t>), che comprendono le p</w:t>
      </w:r>
      <w:r w:rsidRPr="00634337">
        <w:rPr>
          <w:color w:val="000000"/>
          <w:sz w:val="24"/>
          <w:szCs w:val="24"/>
        </w:rPr>
        <w:t>rofessioni esecutive nel lavoro d'ufficio</w:t>
      </w:r>
      <w:r>
        <w:rPr>
          <w:color w:val="000000"/>
          <w:sz w:val="24"/>
          <w:szCs w:val="24"/>
        </w:rPr>
        <w:t xml:space="preserve"> e le p</w:t>
      </w:r>
      <w:r w:rsidRPr="00634337">
        <w:rPr>
          <w:color w:val="000000"/>
          <w:sz w:val="24"/>
          <w:szCs w:val="24"/>
        </w:rPr>
        <w:t>rofessioni qualificate in attività comm</w:t>
      </w:r>
      <w:r>
        <w:rPr>
          <w:color w:val="000000"/>
          <w:sz w:val="24"/>
          <w:szCs w:val="24"/>
        </w:rPr>
        <w:t>erciali</w:t>
      </w:r>
      <w:r w:rsidRPr="00634337">
        <w:rPr>
          <w:color w:val="000000"/>
          <w:sz w:val="24"/>
          <w:szCs w:val="24"/>
        </w:rPr>
        <w:t xml:space="preserve"> e </w:t>
      </w:r>
      <w:r>
        <w:rPr>
          <w:color w:val="000000"/>
          <w:sz w:val="24"/>
          <w:szCs w:val="24"/>
        </w:rPr>
        <w:t xml:space="preserve">nei </w:t>
      </w:r>
      <w:r w:rsidRPr="00634337">
        <w:rPr>
          <w:color w:val="000000"/>
          <w:sz w:val="24"/>
          <w:szCs w:val="24"/>
        </w:rPr>
        <w:t>servizi</w:t>
      </w:r>
      <w:r>
        <w:rPr>
          <w:color w:val="000000"/>
          <w:sz w:val="24"/>
          <w:szCs w:val="24"/>
        </w:rPr>
        <w:t xml:space="preserve">. Buona anche la dinamica delle figure </w:t>
      </w:r>
      <w:r w:rsidRPr="00275145">
        <w:rPr>
          <w:i/>
          <w:color w:val="000000"/>
          <w:sz w:val="24"/>
          <w:szCs w:val="24"/>
        </w:rPr>
        <w:t>high skill</w:t>
      </w:r>
      <w:r>
        <w:rPr>
          <w:color w:val="000000"/>
          <w:sz w:val="24"/>
          <w:szCs w:val="24"/>
        </w:rPr>
        <w:t>, cioè quelle che si riferiscono ai l</w:t>
      </w:r>
      <w:r w:rsidRPr="00634337">
        <w:rPr>
          <w:color w:val="000000"/>
          <w:sz w:val="24"/>
          <w:szCs w:val="24"/>
        </w:rPr>
        <w:t>egislatori, imprenditori</w:t>
      </w:r>
      <w:r>
        <w:rPr>
          <w:color w:val="000000"/>
          <w:sz w:val="24"/>
          <w:szCs w:val="24"/>
        </w:rPr>
        <w:t>,</w:t>
      </w:r>
      <w:r w:rsidRPr="00634337">
        <w:rPr>
          <w:color w:val="000000"/>
          <w:sz w:val="24"/>
          <w:szCs w:val="24"/>
        </w:rPr>
        <w:t xml:space="preserve"> alt</w:t>
      </w:r>
      <w:r>
        <w:rPr>
          <w:color w:val="000000"/>
          <w:sz w:val="24"/>
          <w:szCs w:val="24"/>
        </w:rPr>
        <w:t>i</w:t>
      </w:r>
      <w:r w:rsidRPr="00634337">
        <w:rPr>
          <w:color w:val="000000"/>
          <w:sz w:val="24"/>
          <w:szCs w:val="24"/>
        </w:rPr>
        <w:t xml:space="preserve"> dirigen</w:t>
      </w:r>
      <w:r>
        <w:rPr>
          <w:color w:val="000000"/>
          <w:sz w:val="24"/>
          <w:szCs w:val="24"/>
        </w:rPr>
        <w:t>ti, p</w:t>
      </w:r>
      <w:r w:rsidRPr="00634337">
        <w:rPr>
          <w:color w:val="000000"/>
          <w:sz w:val="24"/>
          <w:szCs w:val="24"/>
        </w:rPr>
        <w:t>rofessioni intell</w:t>
      </w:r>
      <w:r>
        <w:rPr>
          <w:color w:val="000000"/>
          <w:sz w:val="24"/>
          <w:szCs w:val="24"/>
        </w:rPr>
        <w:t>ettuali</w:t>
      </w:r>
      <w:r w:rsidRPr="00634337">
        <w:rPr>
          <w:color w:val="000000"/>
          <w:sz w:val="24"/>
          <w:szCs w:val="24"/>
        </w:rPr>
        <w:t>, di elevata specializzazione</w:t>
      </w:r>
      <w:r>
        <w:rPr>
          <w:color w:val="000000"/>
          <w:sz w:val="24"/>
          <w:szCs w:val="24"/>
        </w:rPr>
        <w:t xml:space="preserve"> e professioni</w:t>
      </w:r>
      <w:r w:rsidRPr="00634337">
        <w:rPr>
          <w:color w:val="000000"/>
          <w:sz w:val="24"/>
          <w:szCs w:val="24"/>
        </w:rPr>
        <w:t xml:space="preserve"> tecniche</w:t>
      </w:r>
      <w:r>
        <w:rPr>
          <w:color w:val="000000"/>
          <w:sz w:val="24"/>
          <w:szCs w:val="24"/>
        </w:rPr>
        <w:t xml:space="preserve">. La variazione di questo raggruppamento, a maggioranza femminile, è del +2,7%. Meno incisivo il movimento delle figure </w:t>
      </w:r>
      <w:r w:rsidRPr="00275145">
        <w:rPr>
          <w:i/>
          <w:color w:val="000000"/>
          <w:sz w:val="24"/>
          <w:szCs w:val="24"/>
        </w:rPr>
        <w:t>low skill</w:t>
      </w:r>
      <w:r>
        <w:rPr>
          <w:color w:val="000000"/>
          <w:sz w:val="24"/>
          <w:szCs w:val="24"/>
        </w:rPr>
        <w:t>, che sono caratterizzate da competenze meno specifiche rispetto alle precedenti (a</w:t>
      </w:r>
      <w:r w:rsidRPr="00275145">
        <w:rPr>
          <w:color w:val="000000"/>
          <w:sz w:val="24"/>
          <w:szCs w:val="24"/>
        </w:rPr>
        <w:t>rtigiani, operai specializzati</w:t>
      </w:r>
      <w:r>
        <w:rPr>
          <w:color w:val="000000"/>
          <w:sz w:val="24"/>
          <w:szCs w:val="24"/>
        </w:rPr>
        <w:t>,</w:t>
      </w:r>
      <w:r w:rsidRPr="00275145">
        <w:rPr>
          <w:color w:val="000000"/>
          <w:sz w:val="24"/>
          <w:szCs w:val="24"/>
        </w:rPr>
        <w:t xml:space="preserve"> agricoltori</w:t>
      </w:r>
      <w:r>
        <w:rPr>
          <w:color w:val="000000"/>
          <w:sz w:val="24"/>
          <w:szCs w:val="24"/>
        </w:rPr>
        <w:t>, c</w:t>
      </w:r>
      <w:r w:rsidRPr="00275145">
        <w:rPr>
          <w:color w:val="000000"/>
          <w:sz w:val="24"/>
          <w:szCs w:val="24"/>
        </w:rPr>
        <w:t xml:space="preserve">onduttori </w:t>
      </w:r>
      <w:r>
        <w:rPr>
          <w:color w:val="000000"/>
          <w:sz w:val="24"/>
          <w:szCs w:val="24"/>
        </w:rPr>
        <w:t xml:space="preserve">di </w:t>
      </w:r>
      <w:r w:rsidRPr="00275145">
        <w:rPr>
          <w:color w:val="000000"/>
          <w:sz w:val="24"/>
          <w:szCs w:val="24"/>
        </w:rPr>
        <w:t>imp</w:t>
      </w:r>
      <w:r>
        <w:rPr>
          <w:color w:val="000000"/>
          <w:sz w:val="24"/>
          <w:szCs w:val="24"/>
        </w:rPr>
        <w:t>ianti,</w:t>
      </w:r>
      <w:r w:rsidRPr="00275145">
        <w:rPr>
          <w:color w:val="000000"/>
          <w:sz w:val="24"/>
          <w:szCs w:val="24"/>
        </w:rPr>
        <w:t xml:space="preserve"> operai </w:t>
      </w:r>
      <w:r>
        <w:rPr>
          <w:color w:val="000000"/>
          <w:sz w:val="24"/>
          <w:szCs w:val="24"/>
        </w:rPr>
        <w:t xml:space="preserve">di </w:t>
      </w:r>
      <w:r w:rsidRPr="00275145">
        <w:rPr>
          <w:color w:val="000000"/>
          <w:sz w:val="24"/>
          <w:szCs w:val="24"/>
        </w:rPr>
        <w:t>macch</w:t>
      </w:r>
      <w:r>
        <w:rPr>
          <w:color w:val="000000"/>
          <w:sz w:val="24"/>
          <w:szCs w:val="24"/>
        </w:rPr>
        <w:t>inari</w:t>
      </w:r>
      <w:r w:rsidRPr="00275145">
        <w:rPr>
          <w:color w:val="000000"/>
          <w:sz w:val="24"/>
          <w:szCs w:val="24"/>
        </w:rPr>
        <w:t>, conduc</w:t>
      </w:r>
      <w:r>
        <w:rPr>
          <w:color w:val="000000"/>
          <w:sz w:val="24"/>
          <w:szCs w:val="24"/>
        </w:rPr>
        <w:t>enti di</w:t>
      </w:r>
      <w:r w:rsidRPr="00275145">
        <w:rPr>
          <w:color w:val="000000"/>
          <w:sz w:val="24"/>
          <w:szCs w:val="24"/>
        </w:rPr>
        <w:t xml:space="preserve"> veicoli</w:t>
      </w:r>
      <w:r>
        <w:rPr>
          <w:color w:val="000000"/>
          <w:sz w:val="24"/>
          <w:szCs w:val="24"/>
        </w:rPr>
        <w:t>, p</w:t>
      </w:r>
      <w:r w:rsidRPr="00275145">
        <w:rPr>
          <w:color w:val="000000"/>
          <w:sz w:val="24"/>
          <w:szCs w:val="24"/>
        </w:rPr>
        <w:t>rofessioni non qualificate</w:t>
      </w:r>
      <w:r>
        <w:rPr>
          <w:color w:val="000000"/>
          <w:sz w:val="24"/>
          <w:szCs w:val="24"/>
        </w:rPr>
        <w:t>). In questo raggruppamento,  dove prevale la componente maschile, la variazione si attesta al +1,7%.</w:t>
      </w:r>
    </w:p>
    <w:p w14:paraId="00D62AE0" w14:textId="77777777" w:rsidR="002E1E9C" w:rsidRPr="00637BF9" w:rsidRDefault="002E1E9C" w:rsidP="002E1E9C">
      <w:pPr>
        <w:pStyle w:val="Testo"/>
        <w:rPr>
          <w:highlight w:val="yellow"/>
        </w:rPr>
      </w:pPr>
    </w:p>
    <w:p w14:paraId="33377CA9" w14:textId="77777777" w:rsidR="002E1E9C" w:rsidRDefault="002E1E9C" w:rsidP="00183317">
      <w:pPr>
        <w:spacing w:after="0" w:line="240" w:lineRule="auto"/>
        <w:jc w:val="both"/>
        <w:rPr>
          <w:rFonts w:ascii="Times New Roman" w:eastAsia="Times New Roman" w:hAnsi="Times New Roman" w:cs="Times New Roman"/>
          <w:b/>
          <w:bCs/>
          <w:color w:val="000000"/>
          <w:sz w:val="24"/>
          <w:szCs w:val="24"/>
          <w:lang w:eastAsia="it-IT"/>
        </w:rPr>
      </w:pPr>
    </w:p>
    <w:p w14:paraId="72B63C74" w14:textId="77777777" w:rsidR="002E1E9C" w:rsidRDefault="002E1E9C" w:rsidP="00183317">
      <w:pPr>
        <w:spacing w:after="0" w:line="240" w:lineRule="auto"/>
        <w:jc w:val="both"/>
        <w:rPr>
          <w:rFonts w:ascii="Times New Roman" w:eastAsia="Times New Roman" w:hAnsi="Times New Roman" w:cs="Times New Roman"/>
          <w:b/>
          <w:bCs/>
          <w:color w:val="000000"/>
          <w:sz w:val="24"/>
          <w:szCs w:val="24"/>
          <w:lang w:eastAsia="it-IT"/>
        </w:rPr>
      </w:pPr>
    </w:p>
    <w:p w14:paraId="543A2A69" w14:textId="77777777" w:rsidR="002E1E9C" w:rsidRDefault="002E1E9C" w:rsidP="00183317">
      <w:pPr>
        <w:spacing w:after="0" w:line="240" w:lineRule="auto"/>
        <w:jc w:val="both"/>
        <w:rPr>
          <w:rFonts w:ascii="Times New Roman" w:eastAsia="Times New Roman" w:hAnsi="Times New Roman" w:cs="Times New Roman"/>
          <w:b/>
          <w:bCs/>
          <w:color w:val="000000"/>
          <w:sz w:val="24"/>
          <w:szCs w:val="24"/>
          <w:lang w:eastAsia="it-IT"/>
        </w:rPr>
      </w:pPr>
    </w:p>
    <w:p w14:paraId="5679CE8B" w14:textId="77777777" w:rsidR="002E1E9C" w:rsidRDefault="002E1E9C" w:rsidP="00183317">
      <w:pPr>
        <w:spacing w:after="0" w:line="240" w:lineRule="auto"/>
        <w:jc w:val="both"/>
        <w:rPr>
          <w:rFonts w:ascii="Times New Roman" w:eastAsia="Times New Roman" w:hAnsi="Times New Roman" w:cs="Times New Roman"/>
          <w:b/>
          <w:bCs/>
          <w:color w:val="000000"/>
          <w:sz w:val="24"/>
          <w:szCs w:val="24"/>
          <w:lang w:eastAsia="it-IT"/>
        </w:rPr>
      </w:pPr>
    </w:p>
    <w:p w14:paraId="19F58084" w14:textId="77777777" w:rsidR="00876AEB" w:rsidRDefault="00876AEB" w:rsidP="00183317">
      <w:pPr>
        <w:spacing w:after="0" w:line="240" w:lineRule="auto"/>
        <w:jc w:val="both"/>
        <w:rPr>
          <w:rFonts w:ascii="Times New Roman" w:eastAsia="Times New Roman" w:hAnsi="Times New Roman" w:cs="Times New Roman"/>
          <w:b/>
          <w:bCs/>
          <w:color w:val="000000"/>
          <w:sz w:val="24"/>
          <w:szCs w:val="24"/>
          <w:lang w:eastAsia="it-IT"/>
        </w:rPr>
      </w:pPr>
    </w:p>
    <w:p w14:paraId="7A500F82" w14:textId="77777777" w:rsidR="00183317" w:rsidRPr="00183317" w:rsidRDefault="00183317" w:rsidP="00183317">
      <w:pPr>
        <w:spacing w:after="0" w:line="240" w:lineRule="auto"/>
        <w:jc w:val="both"/>
        <w:rPr>
          <w:rFonts w:ascii="Times New Roman" w:eastAsia="Times New Roman" w:hAnsi="Times New Roman" w:cs="Times New Roman"/>
          <w:sz w:val="24"/>
          <w:szCs w:val="24"/>
          <w:lang w:eastAsia="it-IT"/>
        </w:rPr>
      </w:pPr>
      <w:r w:rsidRPr="00183317">
        <w:rPr>
          <w:rFonts w:ascii="Times New Roman" w:eastAsia="Times New Roman" w:hAnsi="Times New Roman" w:cs="Times New Roman"/>
          <w:b/>
          <w:bCs/>
          <w:color w:val="000000"/>
          <w:sz w:val="24"/>
          <w:szCs w:val="24"/>
          <w:lang w:eastAsia="it-IT"/>
        </w:rPr>
        <w:t>La dinamica delle assunzioni</w:t>
      </w:r>
    </w:p>
    <w:p w14:paraId="6C6FD9F9" w14:textId="77777777" w:rsidR="00183317" w:rsidRPr="00183317" w:rsidRDefault="00183317" w:rsidP="00183317">
      <w:pPr>
        <w:spacing w:after="0" w:line="240" w:lineRule="auto"/>
        <w:rPr>
          <w:rFonts w:ascii="Times New Roman" w:eastAsia="Times New Roman" w:hAnsi="Times New Roman" w:cs="Times New Roman"/>
          <w:sz w:val="24"/>
          <w:szCs w:val="24"/>
          <w:lang w:eastAsia="it-IT"/>
        </w:rPr>
      </w:pPr>
    </w:p>
    <w:p w14:paraId="1A0A0717" w14:textId="77777777" w:rsidR="00183317" w:rsidRDefault="00183317" w:rsidP="00183317">
      <w:pPr>
        <w:spacing w:after="0" w:line="240" w:lineRule="auto"/>
        <w:jc w:val="both"/>
        <w:rPr>
          <w:rFonts w:ascii="Times New Roman" w:eastAsia="Times New Roman" w:hAnsi="Times New Roman" w:cs="Times New Roman"/>
          <w:color w:val="000000"/>
          <w:sz w:val="24"/>
          <w:szCs w:val="24"/>
          <w:lang w:eastAsia="it-IT"/>
        </w:rPr>
      </w:pPr>
      <w:r w:rsidRPr="00183317">
        <w:rPr>
          <w:rFonts w:ascii="Times New Roman" w:eastAsia="Times New Roman" w:hAnsi="Times New Roman" w:cs="Times New Roman"/>
          <w:color w:val="000000"/>
          <w:sz w:val="24"/>
          <w:szCs w:val="24"/>
          <w:lang w:eastAsia="it-IT"/>
        </w:rPr>
        <w:t>Nei primi sei mesi del 2024, guardando alla dinamica della domanda di lavoro delle imprese tr</w:t>
      </w:r>
      <w:r>
        <w:rPr>
          <w:rFonts w:ascii="Times New Roman" w:eastAsia="Times New Roman" w:hAnsi="Times New Roman" w:cs="Times New Roman"/>
          <w:color w:val="000000"/>
          <w:sz w:val="24"/>
          <w:szCs w:val="24"/>
          <w:lang w:eastAsia="it-IT"/>
        </w:rPr>
        <w:t>entine</w:t>
      </w:r>
      <w:r w:rsidR="00F60B6A">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ci si discosta da quanto</w:t>
      </w:r>
      <w:r w:rsidRPr="00183317">
        <w:rPr>
          <w:rFonts w:ascii="Times New Roman" w:eastAsia="Times New Roman" w:hAnsi="Times New Roman" w:cs="Times New Roman"/>
          <w:color w:val="000000"/>
          <w:sz w:val="24"/>
          <w:szCs w:val="24"/>
          <w:lang w:eastAsia="it-IT"/>
        </w:rPr>
        <w:t xml:space="preserve"> visto </w:t>
      </w:r>
      <w:r w:rsidR="00F60B6A">
        <w:rPr>
          <w:rFonts w:ascii="Times New Roman" w:eastAsia="Times New Roman" w:hAnsi="Times New Roman" w:cs="Times New Roman"/>
          <w:color w:val="000000"/>
          <w:sz w:val="24"/>
          <w:szCs w:val="24"/>
          <w:lang w:eastAsia="it-IT"/>
        </w:rPr>
        <w:t xml:space="preserve">per l’occupazione </w:t>
      </w:r>
      <w:r w:rsidRPr="00183317">
        <w:rPr>
          <w:rFonts w:ascii="Times New Roman" w:eastAsia="Times New Roman" w:hAnsi="Times New Roman" w:cs="Times New Roman"/>
          <w:color w:val="000000"/>
          <w:sz w:val="24"/>
          <w:szCs w:val="24"/>
          <w:lang w:eastAsia="it-IT"/>
        </w:rPr>
        <w:t>nei due precedenti paragrafi. </w:t>
      </w:r>
    </w:p>
    <w:p w14:paraId="0DBECAE9" w14:textId="13771E41" w:rsidR="00183317" w:rsidRPr="00183317" w:rsidRDefault="00183317" w:rsidP="00183317">
      <w:pPr>
        <w:spacing w:after="0" w:line="240" w:lineRule="auto"/>
        <w:jc w:val="both"/>
        <w:rPr>
          <w:rFonts w:ascii="Times New Roman" w:eastAsia="Times New Roman" w:hAnsi="Times New Roman" w:cs="Times New Roman"/>
          <w:color w:val="000000"/>
          <w:sz w:val="24"/>
          <w:szCs w:val="24"/>
          <w:lang w:eastAsia="it-IT"/>
        </w:rPr>
      </w:pPr>
      <w:r w:rsidRPr="00183317">
        <w:rPr>
          <w:rFonts w:ascii="Times New Roman" w:eastAsia="Times New Roman" w:hAnsi="Times New Roman" w:cs="Times New Roman"/>
          <w:color w:val="000000"/>
          <w:sz w:val="24"/>
          <w:szCs w:val="24"/>
          <w:lang w:eastAsia="it-IT"/>
        </w:rPr>
        <w:t xml:space="preserve">Dopo il lieve calo delle assunzioni rilevato </w:t>
      </w:r>
      <w:r>
        <w:rPr>
          <w:rFonts w:ascii="Times New Roman" w:eastAsia="Times New Roman" w:hAnsi="Times New Roman" w:cs="Times New Roman"/>
          <w:color w:val="000000"/>
          <w:sz w:val="24"/>
          <w:szCs w:val="24"/>
          <w:lang w:eastAsia="it-IT"/>
        </w:rPr>
        <w:t xml:space="preserve">già </w:t>
      </w:r>
      <w:r w:rsidRPr="00183317">
        <w:rPr>
          <w:rFonts w:ascii="Times New Roman" w:eastAsia="Times New Roman" w:hAnsi="Times New Roman" w:cs="Times New Roman"/>
          <w:color w:val="000000"/>
          <w:sz w:val="24"/>
          <w:szCs w:val="24"/>
          <w:lang w:eastAsia="it-IT"/>
        </w:rPr>
        <w:t>nel corso del 2023, nei primi sei mesi del nuovo anno si assiste</w:t>
      </w:r>
      <w:r>
        <w:rPr>
          <w:rFonts w:ascii="Times New Roman" w:eastAsia="Times New Roman" w:hAnsi="Times New Roman" w:cs="Times New Roman"/>
          <w:color w:val="000000"/>
          <w:sz w:val="24"/>
          <w:szCs w:val="24"/>
          <w:lang w:eastAsia="it-IT"/>
        </w:rPr>
        <w:t xml:space="preserve">, infatti, </w:t>
      </w:r>
      <w:r w:rsidRPr="00183317">
        <w:rPr>
          <w:rFonts w:ascii="Times New Roman" w:eastAsia="Times New Roman" w:hAnsi="Times New Roman" w:cs="Times New Roman"/>
          <w:color w:val="000000"/>
          <w:sz w:val="24"/>
          <w:szCs w:val="24"/>
          <w:lang w:eastAsia="it-IT"/>
        </w:rPr>
        <w:t xml:space="preserve">a un </w:t>
      </w:r>
      <w:r>
        <w:rPr>
          <w:rFonts w:ascii="Times New Roman" w:eastAsia="Times New Roman" w:hAnsi="Times New Roman" w:cs="Times New Roman"/>
          <w:color w:val="000000"/>
          <w:sz w:val="24"/>
          <w:szCs w:val="24"/>
          <w:lang w:eastAsia="it-IT"/>
        </w:rPr>
        <w:t>ulteriore</w:t>
      </w:r>
      <w:r w:rsidRPr="00183317">
        <w:rPr>
          <w:rFonts w:ascii="Times New Roman" w:eastAsia="Times New Roman" w:hAnsi="Times New Roman" w:cs="Times New Roman"/>
          <w:color w:val="000000"/>
          <w:sz w:val="24"/>
          <w:szCs w:val="24"/>
          <w:lang w:eastAsia="it-IT"/>
        </w:rPr>
        <w:t xml:space="preserve"> </w:t>
      </w:r>
      <w:r w:rsidR="008A03F6">
        <w:rPr>
          <w:rFonts w:ascii="Times New Roman" w:eastAsia="Times New Roman" w:hAnsi="Times New Roman" w:cs="Times New Roman"/>
          <w:color w:val="000000"/>
          <w:sz w:val="24"/>
          <w:szCs w:val="24"/>
          <w:lang w:eastAsia="it-IT"/>
        </w:rPr>
        <w:t>rallentamento</w:t>
      </w:r>
      <w:r w:rsidRPr="00183317">
        <w:rPr>
          <w:rFonts w:ascii="Times New Roman" w:eastAsia="Times New Roman" w:hAnsi="Times New Roman" w:cs="Times New Roman"/>
          <w:color w:val="000000"/>
          <w:sz w:val="24"/>
          <w:szCs w:val="24"/>
          <w:lang w:eastAsia="it-IT"/>
        </w:rPr>
        <w:t xml:space="preserve"> </w:t>
      </w:r>
      <w:r w:rsidR="00F60B6A">
        <w:rPr>
          <w:rFonts w:ascii="Times New Roman" w:eastAsia="Times New Roman" w:hAnsi="Times New Roman" w:cs="Times New Roman"/>
          <w:color w:val="000000"/>
          <w:sz w:val="24"/>
          <w:szCs w:val="24"/>
          <w:lang w:eastAsia="it-IT"/>
        </w:rPr>
        <w:t>nella creazione di nuovi posti di lavoro</w:t>
      </w:r>
      <w:r w:rsidR="0081284A">
        <w:rPr>
          <w:rFonts w:ascii="Times New Roman" w:eastAsia="Times New Roman" w:hAnsi="Times New Roman" w:cs="Times New Roman"/>
          <w:color w:val="000000"/>
          <w:sz w:val="24"/>
          <w:szCs w:val="24"/>
          <w:lang w:eastAsia="it-IT"/>
        </w:rPr>
        <w:t xml:space="preserve"> da parte dell</w:t>
      </w:r>
      <w:r w:rsidR="000822E9">
        <w:rPr>
          <w:rFonts w:ascii="Times New Roman" w:eastAsia="Times New Roman" w:hAnsi="Times New Roman" w:cs="Times New Roman"/>
          <w:color w:val="000000"/>
          <w:sz w:val="24"/>
          <w:szCs w:val="24"/>
          <w:lang w:eastAsia="it-IT"/>
        </w:rPr>
        <w:t>e</w:t>
      </w:r>
      <w:r w:rsidR="0081284A">
        <w:rPr>
          <w:rFonts w:ascii="Times New Roman" w:eastAsia="Times New Roman" w:hAnsi="Times New Roman" w:cs="Times New Roman"/>
          <w:color w:val="000000"/>
          <w:sz w:val="24"/>
          <w:szCs w:val="24"/>
          <w:lang w:eastAsia="it-IT"/>
        </w:rPr>
        <w:t xml:space="preserve"> </w:t>
      </w:r>
      <w:r w:rsidR="000822E9">
        <w:rPr>
          <w:rFonts w:ascii="Times New Roman" w:eastAsia="Times New Roman" w:hAnsi="Times New Roman" w:cs="Times New Roman"/>
          <w:color w:val="000000"/>
          <w:sz w:val="24"/>
          <w:szCs w:val="24"/>
          <w:lang w:eastAsia="it-IT"/>
        </w:rPr>
        <w:t>i</w:t>
      </w:r>
      <w:r w:rsidRPr="00183317">
        <w:rPr>
          <w:rFonts w:ascii="Times New Roman" w:eastAsia="Times New Roman" w:hAnsi="Times New Roman" w:cs="Times New Roman"/>
          <w:color w:val="000000"/>
          <w:sz w:val="24"/>
          <w:szCs w:val="24"/>
          <w:lang w:eastAsia="it-IT"/>
        </w:rPr>
        <w:t>mprese trentine. </w:t>
      </w:r>
    </w:p>
    <w:p w14:paraId="6B7B000B" w14:textId="77777777" w:rsidR="009F2F53" w:rsidRDefault="00183317" w:rsidP="00183317">
      <w:pPr>
        <w:spacing w:after="0" w:line="240" w:lineRule="auto"/>
        <w:jc w:val="both"/>
        <w:rPr>
          <w:rFonts w:ascii="Times New Roman" w:eastAsia="Times New Roman" w:hAnsi="Times New Roman" w:cs="Times New Roman"/>
          <w:color w:val="000000"/>
          <w:sz w:val="24"/>
          <w:szCs w:val="24"/>
          <w:lang w:eastAsia="it-IT"/>
        </w:rPr>
      </w:pPr>
      <w:r w:rsidRPr="00183317">
        <w:rPr>
          <w:rFonts w:ascii="Times New Roman" w:eastAsia="Times New Roman" w:hAnsi="Times New Roman" w:cs="Times New Roman"/>
          <w:color w:val="000000"/>
          <w:sz w:val="24"/>
          <w:szCs w:val="24"/>
          <w:lang w:eastAsia="it-IT"/>
        </w:rPr>
        <w:t>Nel pr</w:t>
      </w:r>
      <w:r>
        <w:rPr>
          <w:rFonts w:ascii="Times New Roman" w:eastAsia="Times New Roman" w:hAnsi="Times New Roman" w:cs="Times New Roman"/>
          <w:color w:val="000000"/>
          <w:sz w:val="24"/>
          <w:szCs w:val="24"/>
          <w:lang w:eastAsia="it-IT"/>
        </w:rPr>
        <w:t>im</w:t>
      </w:r>
      <w:r w:rsidR="00F07121">
        <w:rPr>
          <w:rFonts w:ascii="Times New Roman" w:eastAsia="Times New Roman" w:hAnsi="Times New Roman" w:cs="Times New Roman"/>
          <w:color w:val="000000"/>
          <w:sz w:val="24"/>
          <w:szCs w:val="24"/>
          <w:lang w:eastAsia="it-IT"/>
        </w:rPr>
        <w:t>o</w:t>
      </w:r>
      <w:r>
        <w:rPr>
          <w:rFonts w:ascii="Times New Roman" w:eastAsia="Times New Roman" w:hAnsi="Times New Roman" w:cs="Times New Roman"/>
          <w:color w:val="000000"/>
          <w:sz w:val="24"/>
          <w:szCs w:val="24"/>
          <w:lang w:eastAsia="it-IT"/>
        </w:rPr>
        <w:t xml:space="preserve"> semestre del 2024, </w:t>
      </w:r>
      <w:r w:rsidRPr="00183317">
        <w:rPr>
          <w:rFonts w:ascii="Times New Roman" w:eastAsia="Times New Roman" w:hAnsi="Times New Roman" w:cs="Times New Roman"/>
          <w:color w:val="000000"/>
          <w:sz w:val="24"/>
          <w:szCs w:val="24"/>
          <w:lang w:eastAsia="it-IT"/>
        </w:rPr>
        <w:t>si contano 76.078 nuove assunzioni in provincia di Trento, 1.451 in meno per una variazione del -1,9% rispetto allo stesso periodo dell’anno prima</w:t>
      </w:r>
      <w:r w:rsidR="009F2F53">
        <w:rPr>
          <w:rFonts w:ascii="Times New Roman" w:eastAsia="Times New Roman" w:hAnsi="Times New Roman" w:cs="Times New Roman"/>
          <w:color w:val="000000"/>
          <w:sz w:val="24"/>
          <w:szCs w:val="24"/>
          <w:lang w:eastAsia="it-IT"/>
        </w:rPr>
        <w:t>.</w:t>
      </w:r>
    </w:p>
    <w:p w14:paraId="68BD9710" w14:textId="77777777" w:rsidR="00C32B39" w:rsidRPr="00F07121" w:rsidRDefault="00C32B39"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Il calo delle assunzioni nel primo semestre dell’anno, si è determinato nei tre settori di attività, ma in particolare nel primario e secondario.</w:t>
      </w:r>
    </w:p>
    <w:p w14:paraId="4C591E66" w14:textId="77777777" w:rsidR="00C32B39" w:rsidRPr="00F07121" w:rsidRDefault="00C32B39"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 xml:space="preserve">Le  assunzioni  calano  di 526 unità per un -6,3% in agricoltura e di 786 e 7,1% nel secondario, mentre scendono di 139 per un -0,2% nel terziario. </w:t>
      </w:r>
    </w:p>
    <w:p w14:paraId="11F003E0" w14:textId="77777777" w:rsidR="00C32B39" w:rsidRPr="00F07121" w:rsidRDefault="00C32B39"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 xml:space="preserve">Nello specifico, nel secondario le assunzioni diminuiscono di 86 unità nell’estrattivo, di 66 nelle costruzioni e in particolare di 634 per un -9,8% nel manifatturiero. </w:t>
      </w:r>
    </w:p>
    <w:p w14:paraId="3FD17387" w14:textId="77777777" w:rsidR="00C32B39" w:rsidRPr="00F07121" w:rsidRDefault="00C32B39"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Nei comparti del terziario, le assunzioni crescono, grazie a un buon avvio delle stagione turistica estiva, di 399 unità nei pubblici esercizi e di 81 negli altri servizi del settore, mentre calano di 190 nel commercio e soprattutto di 429 nei servizi alle imprese.</w:t>
      </w:r>
    </w:p>
    <w:p w14:paraId="6149E300" w14:textId="77777777" w:rsidR="00077E33" w:rsidRPr="00F07121" w:rsidRDefault="00077E33"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 xml:space="preserve">In questi sei mesi del 2024, a fronte del calo delle entrate, rimane sostanzialmente fermo il numero delle le uscite dal mercato del lavoro. Le 67.292 cessazioni rilevate tra gennaio e giugno dell’anno sono, infatti, di sole 41 unità per un -0,1% minori di quelle di un anno prima.   </w:t>
      </w:r>
    </w:p>
    <w:p w14:paraId="6A96527C" w14:textId="77777777" w:rsidR="00077E33" w:rsidRPr="00F07121" w:rsidRDefault="00077E33"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 xml:space="preserve">Il saldo occupazionale del primo semestre del 2024, a dispetto del calo delle assunzioni, resta comunque largamente positivo, con la somma delle assunzioni e trasformazioni dei contratti a  termine in tempo indeterminato che superano le cessazioni dal lavoro in numero di 12.608. Gli ingressi superano le uscite lavorative in tutti i settori e comparti di attività, compreso il manifatturiero che abbiamo visto essere quello con il maggior calo delle entrate rispetto l’anno prima. </w:t>
      </w:r>
    </w:p>
    <w:p w14:paraId="23E756EF" w14:textId="77777777" w:rsidR="00077E33" w:rsidRPr="00F07121" w:rsidRDefault="00183317" w:rsidP="00F07121">
      <w:pPr>
        <w:spacing w:after="0" w:line="240" w:lineRule="auto"/>
        <w:jc w:val="both"/>
        <w:rPr>
          <w:rFonts w:ascii="Times New Roman" w:eastAsia="Times New Roman" w:hAnsi="Times New Roman" w:cs="Times New Roman"/>
          <w:color w:val="000000"/>
          <w:sz w:val="24"/>
          <w:szCs w:val="24"/>
          <w:lang w:eastAsia="it-IT"/>
        </w:rPr>
      </w:pPr>
      <w:r w:rsidRPr="00F07121">
        <w:rPr>
          <w:rFonts w:ascii="Times New Roman" w:eastAsia="Times New Roman" w:hAnsi="Times New Roman" w:cs="Times New Roman"/>
          <w:color w:val="000000"/>
          <w:sz w:val="24"/>
          <w:szCs w:val="24"/>
          <w:lang w:eastAsia="it-IT"/>
        </w:rPr>
        <w:t xml:space="preserve">In riferimento alle caratteristiche anagrafiche, </w:t>
      </w:r>
      <w:r w:rsidR="00077E33" w:rsidRPr="00F07121">
        <w:rPr>
          <w:rFonts w:ascii="Times New Roman" w:eastAsia="Times New Roman" w:hAnsi="Times New Roman" w:cs="Times New Roman"/>
          <w:color w:val="000000"/>
          <w:sz w:val="24"/>
          <w:szCs w:val="24"/>
          <w:lang w:eastAsia="it-IT"/>
        </w:rPr>
        <w:t>il calo delle assunzioni tra gennaio e giugno 2024 è stato abbastanza simile tra maschi (-775) e femmine (-676), e benché le assunzioni degli italiani siano nei sei mesi quasi sette su dieci di quelle totali, a calare sono soprattutto queste (-1.262, di contro alle 189 in meno per gli stranieri).</w:t>
      </w:r>
      <w:r w:rsidR="00AE40AB" w:rsidRPr="00F07121">
        <w:rPr>
          <w:rFonts w:ascii="Times New Roman" w:eastAsia="Times New Roman" w:hAnsi="Times New Roman" w:cs="Times New Roman"/>
          <w:color w:val="000000"/>
          <w:sz w:val="24"/>
          <w:szCs w:val="24"/>
          <w:lang w:eastAsia="it-IT"/>
        </w:rPr>
        <w:t xml:space="preserve"> </w:t>
      </w:r>
      <w:r w:rsidR="00077E33" w:rsidRPr="00F07121">
        <w:rPr>
          <w:rFonts w:ascii="Times New Roman" w:eastAsia="Times New Roman" w:hAnsi="Times New Roman" w:cs="Times New Roman"/>
          <w:color w:val="000000"/>
          <w:sz w:val="24"/>
          <w:szCs w:val="24"/>
          <w:lang w:eastAsia="it-IT"/>
        </w:rPr>
        <w:t>Per età il calo ha interessato più la fascia centrale dei 30-54enni (-1.748 assunzioni), di quella dei giovani fino ai 29 anni (-400), mentre sono aumentate le assunzioni dei più anziani (+697 tra gli oltre 54enni).</w:t>
      </w:r>
    </w:p>
    <w:p w14:paraId="7CFEDA46" w14:textId="77777777" w:rsidR="00AE40AB" w:rsidRPr="00F07121" w:rsidRDefault="00AE40AB" w:rsidP="00AE40AB">
      <w:pPr>
        <w:pStyle w:val="Testo"/>
        <w:ind w:firstLine="0"/>
        <w:rPr>
          <w:color w:val="000000"/>
          <w:sz w:val="24"/>
          <w:szCs w:val="24"/>
        </w:rPr>
      </w:pPr>
      <w:r w:rsidRPr="00F07121">
        <w:rPr>
          <w:color w:val="000000"/>
          <w:sz w:val="24"/>
          <w:szCs w:val="24"/>
        </w:rPr>
        <w:t>Rispetto ai primi sei mesi del 2023, si assiste a un calo di tutte le tipologie contrattuali, con la sola eccezione del lavoro a chiamata.</w:t>
      </w:r>
    </w:p>
    <w:p w14:paraId="5808AC42" w14:textId="77777777" w:rsidR="00AE40AB" w:rsidRPr="00F07121" w:rsidRDefault="00AE40AB" w:rsidP="00AE40AB">
      <w:pPr>
        <w:pStyle w:val="Testo"/>
        <w:ind w:firstLine="0"/>
        <w:rPr>
          <w:color w:val="000000"/>
          <w:sz w:val="24"/>
          <w:szCs w:val="24"/>
        </w:rPr>
      </w:pPr>
      <w:r w:rsidRPr="00F07121">
        <w:rPr>
          <w:color w:val="000000"/>
          <w:sz w:val="24"/>
          <w:szCs w:val="24"/>
        </w:rPr>
        <w:t>Dopo un 2023 di crescita, il tempo indeterminato nei primi sei mesi del 2024 cala di 424 assunzioni e del 5,5% e anche l’apprendistato diminuisce di 397 unità per un -13%. Sebbene non si tratti di una forma diretta d’inserimento al lavoro, sempre in tema di stabilità lavorativa, si deve sottolineare anche il calo delle trasformazioni dei contratti a termine in tempo indeterminato</w:t>
      </w:r>
      <w:r w:rsidR="009345DA" w:rsidRPr="00F07121">
        <w:rPr>
          <w:color w:val="000000"/>
          <w:sz w:val="24"/>
          <w:szCs w:val="24"/>
        </w:rPr>
        <w:t>; da</w:t>
      </w:r>
      <w:r w:rsidRPr="00F07121">
        <w:rPr>
          <w:color w:val="000000"/>
          <w:sz w:val="24"/>
          <w:szCs w:val="24"/>
        </w:rPr>
        <w:t xml:space="preserve">lle 4.108 dei primi sei mesi del 2023, </w:t>
      </w:r>
      <w:r w:rsidR="009345DA" w:rsidRPr="00F07121">
        <w:rPr>
          <w:color w:val="000000"/>
          <w:sz w:val="24"/>
          <w:szCs w:val="24"/>
        </w:rPr>
        <w:t xml:space="preserve">si passa </w:t>
      </w:r>
      <w:r w:rsidRPr="00F07121">
        <w:rPr>
          <w:color w:val="000000"/>
          <w:sz w:val="24"/>
          <w:szCs w:val="24"/>
        </w:rPr>
        <w:t>alle 3.822 della prima metà del 2024.</w:t>
      </w:r>
    </w:p>
    <w:p w14:paraId="5FC5517E" w14:textId="77777777" w:rsidR="00AE40AB" w:rsidRPr="00F07121" w:rsidRDefault="00AE40AB" w:rsidP="00AE40AB">
      <w:pPr>
        <w:pStyle w:val="Testo"/>
        <w:ind w:firstLine="0"/>
        <w:rPr>
          <w:color w:val="000000"/>
          <w:sz w:val="24"/>
          <w:szCs w:val="24"/>
        </w:rPr>
      </w:pPr>
      <w:r w:rsidRPr="00F07121">
        <w:rPr>
          <w:color w:val="000000"/>
          <w:sz w:val="24"/>
          <w:szCs w:val="24"/>
        </w:rPr>
        <w:t xml:space="preserve">Sul fronte del lavoro a termine, la flessione è invece pari a 124 assunzioni per </w:t>
      </w:r>
      <w:r w:rsidR="009345DA" w:rsidRPr="00F07121">
        <w:rPr>
          <w:color w:val="000000"/>
          <w:sz w:val="24"/>
          <w:szCs w:val="24"/>
        </w:rPr>
        <w:t xml:space="preserve">quello </w:t>
      </w:r>
      <w:r w:rsidRPr="00F07121">
        <w:rPr>
          <w:color w:val="000000"/>
          <w:sz w:val="24"/>
          <w:szCs w:val="24"/>
        </w:rPr>
        <w:t xml:space="preserve">somministrato e a 679 per il contratto a tempo determinato. A crescere, nei primi sei mesi del 2024, è dunque il solo lavoro a chiamata, che rispetto allo stesso periodo dell’anno prima aumenta di 173 assunzioni.  </w:t>
      </w:r>
    </w:p>
    <w:p w14:paraId="2FD42FBB" w14:textId="77777777" w:rsidR="007F2798" w:rsidRDefault="007F2798" w:rsidP="00AE40AB">
      <w:pPr>
        <w:pStyle w:val="Testo"/>
        <w:ind w:firstLine="0"/>
        <w:rPr>
          <w:rFonts w:eastAsia="Arial"/>
        </w:rPr>
      </w:pPr>
    </w:p>
    <w:p w14:paraId="7A37F46B" w14:textId="77777777" w:rsidR="007F2798" w:rsidRDefault="007F2798" w:rsidP="007F2798">
      <w:pPr>
        <w:keepNext/>
        <w:keepLines/>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cassa integrazione</w:t>
      </w:r>
    </w:p>
    <w:p w14:paraId="4FA8A4C1" w14:textId="77777777" w:rsidR="007F2798" w:rsidRDefault="007F2798" w:rsidP="007F2798">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p>
    <w:p w14:paraId="13C571EF" w14:textId="77777777" w:rsidR="007F2798" w:rsidRDefault="007F2798" w:rsidP="007F2798">
      <w:pPr>
        <w:pStyle w:val="Testo"/>
        <w:ind w:firstLine="0"/>
        <w:rPr>
          <w:sz w:val="24"/>
          <w:szCs w:val="24"/>
        </w:rPr>
      </w:pPr>
      <w:r w:rsidRPr="00213822">
        <w:rPr>
          <w:sz w:val="24"/>
          <w:szCs w:val="24"/>
        </w:rPr>
        <w:t>Da gennaio a giugno</w:t>
      </w:r>
      <w:r>
        <w:rPr>
          <w:sz w:val="24"/>
          <w:szCs w:val="24"/>
        </w:rPr>
        <w:t xml:space="preserve"> 2024</w:t>
      </w:r>
      <w:r w:rsidRPr="00213822">
        <w:rPr>
          <w:sz w:val="24"/>
          <w:szCs w:val="24"/>
        </w:rPr>
        <w:t xml:space="preserve"> sono state autorizzate 679.812 ore</w:t>
      </w:r>
      <w:r>
        <w:rPr>
          <w:sz w:val="24"/>
          <w:szCs w:val="24"/>
        </w:rPr>
        <w:t xml:space="preserve"> di cassa integrazione</w:t>
      </w:r>
      <w:r w:rsidRPr="00213822">
        <w:rPr>
          <w:sz w:val="24"/>
          <w:szCs w:val="24"/>
        </w:rPr>
        <w:t xml:space="preserve">, che rappresentano </w:t>
      </w:r>
      <w:r>
        <w:rPr>
          <w:sz w:val="24"/>
          <w:szCs w:val="24"/>
        </w:rPr>
        <w:t>il monte ore</w:t>
      </w:r>
      <w:r w:rsidRPr="00213822">
        <w:rPr>
          <w:sz w:val="24"/>
          <w:szCs w:val="24"/>
        </w:rPr>
        <w:t xml:space="preserve"> più basso </w:t>
      </w:r>
      <w:r>
        <w:rPr>
          <w:sz w:val="24"/>
          <w:szCs w:val="24"/>
        </w:rPr>
        <w:t xml:space="preserve">tra quelli rilevati nel medesimo periodo </w:t>
      </w:r>
      <w:r w:rsidRPr="00213822">
        <w:rPr>
          <w:sz w:val="24"/>
          <w:szCs w:val="24"/>
        </w:rPr>
        <w:t>degli ultimi sei anni.</w:t>
      </w:r>
      <w:r>
        <w:rPr>
          <w:sz w:val="24"/>
          <w:szCs w:val="24"/>
        </w:rPr>
        <w:t xml:space="preserve"> Nello specifico, </w:t>
      </w:r>
      <w:r w:rsidRPr="00213822">
        <w:rPr>
          <w:sz w:val="24"/>
          <w:szCs w:val="24"/>
        </w:rPr>
        <w:t xml:space="preserve">si osserva una contrazione del 38,6% </w:t>
      </w:r>
      <w:r>
        <w:rPr>
          <w:sz w:val="24"/>
          <w:szCs w:val="24"/>
        </w:rPr>
        <w:t>r</w:t>
      </w:r>
      <w:r w:rsidRPr="00213822">
        <w:rPr>
          <w:sz w:val="24"/>
          <w:szCs w:val="24"/>
        </w:rPr>
        <w:t>ispetto al primo semestre 2023</w:t>
      </w:r>
      <w:r>
        <w:rPr>
          <w:sz w:val="24"/>
          <w:szCs w:val="24"/>
        </w:rPr>
        <w:t xml:space="preserve">, che corrisponde </w:t>
      </w:r>
      <w:r w:rsidRPr="00213822">
        <w:rPr>
          <w:sz w:val="24"/>
          <w:szCs w:val="24"/>
        </w:rPr>
        <w:t>a 427.238 ore in meno.</w:t>
      </w:r>
      <w:r>
        <w:rPr>
          <w:sz w:val="24"/>
          <w:szCs w:val="24"/>
        </w:rPr>
        <w:t xml:space="preserve"> </w:t>
      </w:r>
      <w:r w:rsidRPr="00213822">
        <w:rPr>
          <w:sz w:val="24"/>
          <w:szCs w:val="24"/>
        </w:rPr>
        <w:t>Il calo ha interessato sia la Cigo (-33,7%) che la Cigs (</w:t>
      </w:r>
      <w:r>
        <w:rPr>
          <w:sz w:val="24"/>
          <w:szCs w:val="24"/>
        </w:rPr>
        <w:noBreakHyphen/>
      </w:r>
      <w:r w:rsidRPr="00213822">
        <w:rPr>
          <w:sz w:val="24"/>
          <w:szCs w:val="24"/>
        </w:rPr>
        <w:t xml:space="preserve">80,9%), mentre </w:t>
      </w:r>
      <w:r>
        <w:rPr>
          <w:sz w:val="24"/>
          <w:szCs w:val="24"/>
        </w:rPr>
        <w:t>ha perso completamente rilevanza lo strumento della</w:t>
      </w:r>
      <w:r w:rsidRPr="00213822">
        <w:rPr>
          <w:sz w:val="24"/>
          <w:szCs w:val="24"/>
        </w:rPr>
        <w:t xml:space="preserve"> Cig in deroga</w:t>
      </w:r>
      <w:r>
        <w:rPr>
          <w:sz w:val="24"/>
          <w:szCs w:val="24"/>
        </w:rPr>
        <w:t>, che riveste un ruolo solo nei periodi di crisi generalizzata del mercato. Di tutte l</w:t>
      </w:r>
      <w:r w:rsidR="00F07121">
        <w:rPr>
          <w:sz w:val="24"/>
          <w:szCs w:val="24"/>
        </w:rPr>
        <w:t>e ore concesse, il 97% riguarda</w:t>
      </w:r>
      <w:r>
        <w:rPr>
          <w:sz w:val="24"/>
          <w:szCs w:val="24"/>
        </w:rPr>
        <w:t xml:space="preserve">no interventi ordinari e il 3% interventi straordinari. Più di due terzi delle ore sono state destinate ad </w:t>
      </w:r>
      <w:r w:rsidRPr="004710E2">
        <w:rPr>
          <w:sz w:val="24"/>
          <w:szCs w:val="24"/>
        </w:rPr>
        <w:t>attività industriali</w:t>
      </w:r>
      <w:r>
        <w:rPr>
          <w:sz w:val="24"/>
          <w:szCs w:val="24"/>
        </w:rPr>
        <w:t xml:space="preserve"> </w:t>
      </w:r>
      <w:r w:rsidRPr="004710E2">
        <w:rPr>
          <w:sz w:val="24"/>
          <w:szCs w:val="24"/>
        </w:rPr>
        <w:t xml:space="preserve"> (467.577 </w:t>
      </w:r>
      <w:r w:rsidRPr="004710E2">
        <w:rPr>
          <w:sz w:val="24"/>
          <w:szCs w:val="24"/>
        </w:rPr>
        <w:lastRenderedPageBreak/>
        <w:t>ore</w:t>
      </w:r>
      <w:r>
        <w:rPr>
          <w:sz w:val="24"/>
          <w:szCs w:val="24"/>
        </w:rPr>
        <w:t>)</w:t>
      </w:r>
      <w:r w:rsidRPr="004710E2">
        <w:rPr>
          <w:sz w:val="24"/>
          <w:szCs w:val="24"/>
        </w:rPr>
        <w:t xml:space="preserve">, mentre l’edilizia </w:t>
      </w:r>
      <w:r>
        <w:rPr>
          <w:sz w:val="24"/>
          <w:szCs w:val="24"/>
        </w:rPr>
        <w:t>ha assorbito</w:t>
      </w:r>
      <w:r w:rsidRPr="004710E2">
        <w:rPr>
          <w:sz w:val="24"/>
          <w:szCs w:val="24"/>
        </w:rPr>
        <w:t xml:space="preserve"> quasi </w:t>
      </w:r>
      <w:r>
        <w:rPr>
          <w:sz w:val="24"/>
          <w:szCs w:val="24"/>
        </w:rPr>
        <w:t>l’intera</w:t>
      </w:r>
      <w:r w:rsidRPr="004710E2">
        <w:rPr>
          <w:sz w:val="24"/>
          <w:szCs w:val="24"/>
        </w:rPr>
        <w:t xml:space="preserve"> quota restante </w:t>
      </w:r>
      <w:r>
        <w:rPr>
          <w:sz w:val="24"/>
          <w:szCs w:val="24"/>
        </w:rPr>
        <w:t>(</w:t>
      </w:r>
      <w:r w:rsidRPr="004710E2">
        <w:rPr>
          <w:sz w:val="24"/>
          <w:szCs w:val="24"/>
        </w:rPr>
        <w:t>211.347 ore</w:t>
      </w:r>
      <w:r>
        <w:rPr>
          <w:sz w:val="24"/>
          <w:szCs w:val="24"/>
        </w:rPr>
        <w:t>)</w:t>
      </w:r>
      <w:r w:rsidRPr="004710E2">
        <w:rPr>
          <w:sz w:val="24"/>
          <w:szCs w:val="24"/>
        </w:rPr>
        <w:t xml:space="preserve">. Le attività </w:t>
      </w:r>
      <w:r>
        <w:rPr>
          <w:sz w:val="24"/>
          <w:szCs w:val="24"/>
        </w:rPr>
        <w:t>rientranti nel</w:t>
      </w:r>
      <w:r w:rsidRPr="004710E2">
        <w:rPr>
          <w:sz w:val="24"/>
          <w:szCs w:val="24"/>
        </w:rPr>
        <w:t xml:space="preserve"> </w:t>
      </w:r>
      <w:r>
        <w:rPr>
          <w:sz w:val="24"/>
          <w:szCs w:val="24"/>
        </w:rPr>
        <w:t>r</w:t>
      </w:r>
      <w:r w:rsidRPr="004710E2">
        <w:rPr>
          <w:sz w:val="24"/>
          <w:szCs w:val="24"/>
        </w:rPr>
        <w:t xml:space="preserve">amo commercio hanno beneficiato di appena 24 ore, </w:t>
      </w:r>
      <w:r>
        <w:rPr>
          <w:sz w:val="24"/>
          <w:szCs w:val="24"/>
        </w:rPr>
        <w:t>che corrispondono al</w:t>
      </w:r>
      <w:r w:rsidRPr="004710E2">
        <w:rPr>
          <w:sz w:val="24"/>
          <w:szCs w:val="24"/>
        </w:rPr>
        <w:t>lo 0,1% del totale.</w:t>
      </w:r>
    </w:p>
    <w:p w14:paraId="18B08DEE" w14:textId="77777777" w:rsidR="00341CE3" w:rsidRDefault="00341CE3" w:rsidP="007F2798">
      <w:pPr>
        <w:pStyle w:val="Testo"/>
        <w:ind w:firstLine="0"/>
        <w:rPr>
          <w:sz w:val="24"/>
          <w:szCs w:val="24"/>
        </w:rPr>
      </w:pPr>
    </w:p>
    <w:p w14:paraId="4841AE77" w14:textId="77777777" w:rsidR="007C5A8D" w:rsidRDefault="007C5A8D" w:rsidP="007F2798">
      <w:pPr>
        <w:pStyle w:val="Testo"/>
        <w:ind w:firstLine="0"/>
        <w:rPr>
          <w:sz w:val="24"/>
          <w:szCs w:val="24"/>
        </w:rPr>
      </w:pPr>
    </w:p>
    <w:p w14:paraId="1ACEDE41" w14:textId="77777777" w:rsidR="007C5A8D" w:rsidRDefault="007C5A8D" w:rsidP="007F2798">
      <w:pPr>
        <w:pStyle w:val="Testo"/>
        <w:ind w:firstLine="0"/>
        <w:rPr>
          <w:sz w:val="24"/>
          <w:szCs w:val="24"/>
        </w:rPr>
      </w:pPr>
    </w:p>
    <w:p w14:paraId="0D3120FC" w14:textId="77777777" w:rsidR="007C5A8D" w:rsidRDefault="007C5A8D" w:rsidP="007F2798">
      <w:pPr>
        <w:pStyle w:val="Testo"/>
        <w:ind w:firstLine="0"/>
        <w:rPr>
          <w:sz w:val="24"/>
          <w:szCs w:val="24"/>
        </w:rPr>
      </w:pPr>
    </w:p>
    <w:p w14:paraId="30CB0DF5"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rPr>
      </w:pPr>
    </w:p>
    <w:p w14:paraId="78E3427F"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 1 - Indicatori economici* delle imprese in provincia di Trento nel primo semestre 20</w:t>
      </w:r>
      <w:r w:rsidR="007C5A8D">
        <w:rPr>
          <w:rFonts w:ascii="Times New Roman" w:eastAsia="Times New Roman" w:hAnsi="Times New Roman" w:cs="Times New Roman"/>
          <w:b/>
          <w:color w:val="000000"/>
        </w:rPr>
        <w:t>24</w:t>
      </w:r>
    </w:p>
    <w:p w14:paraId="417B01D1" w14:textId="77777777" w:rsidR="00341CE3" w:rsidRDefault="00341CE3" w:rsidP="007C5A8D">
      <w:pPr>
        <w:keepNext/>
        <w:pBdr>
          <w:top w:val="none" w:sz="0" w:space="0" w:color="000000"/>
          <w:left w:val="none" w:sz="0" w:space="0" w:color="000000"/>
          <w:bottom w:val="none" w:sz="0" w:space="31"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(variazioni percentuali)</w:t>
      </w:r>
    </w:p>
    <w:p w14:paraId="2701762F" w14:textId="77777777" w:rsidR="00353EC6" w:rsidRDefault="007C5A8D"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eastAsia="it-IT"/>
        </w:rPr>
        <w:drawing>
          <wp:inline distT="0" distB="0" distL="0" distR="0" wp14:anchorId="0EA7102B" wp14:editId="3A24091A">
            <wp:extent cx="4422311" cy="2406841"/>
            <wp:effectExtent l="19050" t="0" r="0"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422311" cy="2406841"/>
                    </a:xfrm>
                    <a:prstGeom prst="rect">
                      <a:avLst/>
                    </a:prstGeom>
                    <a:noFill/>
                    <a:ln w="9525">
                      <a:noFill/>
                      <a:miter lim="800000"/>
                      <a:headEnd/>
                      <a:tailEnd/>
                    </a:ln>
                  </pic:spPr>
                </pic:pic>
              </a:graphicData>
            </a:graphic>
          </wp:inline>
        </w:drawing>
      </w:r>
    </w:p>
    <w:p w14:paraId="7E1FB8F2"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p>
    <w:p w14:paraId="22070DE2"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 Valori riferiti ai soli settori tradizionalmente oggetto di indagine congiunturale da parte di CCIAA di Trento (manifatturiero, costruzioni, commercio ingrosso e dettaglio, trasporti e servizi alle imprese)</w:t>
      </w:r>
    </w:p>
    <w:p w14:paraId="03AC5539"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Fonte: Ufficio dati e funzioni di sistema su dati CCIAA</w:t>
      </w:r>
    </w:p>
    <w:p w14:paraId="054E0F14"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rPr>
      </w:pPr>
    </w:p>
    <w:p w14:paraId="1EA51B8E"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rPr>
      </w:pPr>
    </w:p>
    <w:p w14:paraId="3F1ECD49" w14:textId="77777777" w:rsidR="007C5A8D"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 2 - Arrivi e presenze per tipologia delle strutture e nazionalità in provincia di Trento nella stagione invernale 202</w:t>
      </w:r>
      <w:r w:rsidR="007C5A8D">
        <w:rPr>
          <w:rFonts w:ascii="Times New Roman" w:eastAsia="Times New Roman" w:hAnsi="Times New Roman" w:cs="Times New Roman"/>
          <w:b/>
          <w:color w:val="000000"/>
        </w:rPr>
        <w:t>3</w:t>
      </w:r>
      <w:r>
        <w:rPr>
          <w:rFonts w:ascii="Times New Roman" w:eastAsia="Times New Roman" w:hAnsi="Times New Roman" w:cs="Times New Roman"/>
          <w:b/>
          <w:color w:val="000000"/>
        </w:rPr>
        <w:t>-202</w:t>
      </w:r>
      <w:r w:rsidR="007C5A8D">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 (valori assoluti e variazioni percentuali su stagione invernale anno precedente) </w:t>
      </w:r>
    </w:p>
    <w:p w14:paraId="1BB633ED" w14:textId="77777777" w:rsidR="007C5A8D" w:rsidRDefault="007C5A8D"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37F2CCBC" w14:textId="77777777" w:rsidR="007C5A8D" w:rsidRDefault="007C5A8D"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eastAsia="it-IT"/>
        </w:rPr>
        <w:drawing>
          <wp:inline distT="0" distB="0" distL="0" distR="0" wp14:anchorId="137E0F3A" wp14:editId="661AE34F">
            <wp:extent cx="6120130" cy="1957057"/>
            <wp:effectExtent l="19050" t="0" r="0" b="0"/>
            <wp:docPr id="1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120130" cy="1957057"/>
                    </a:xfrm>
                    <a:prstGeom prst="rect">
                      <a:avLst/>
                    </a:prstGeom>
                    <a:noFill/>
                    <a:ln w="9525">
                      <a:noFill/>
                      <a:miter lim="800000"/>
                      <a:headEnd/>
                      <a:tailEnd/>
                    </a:ln>
                  </pic:spPr>
                </pic:pic>
              </a:graphicData>
            </a:graphic>
          </wp:inline>
        </w:drawing>
      </w:r>
    </w:p>
    <w:p w14:paraId="78A526A1"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p>
    <w:p w14:paraId="72C7E2A0" w14:textId="77777777" w:rsidR="00341CE3" w:rsidRDefault="00341CE3" w:rsidP="0016612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Fonte: Ufficio dati e funzioni di sistema su dati ISPAT</w:t>
      </w:r>
    </w:p>
    <w:p w14:paraId="794E02F1"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jc w:val="both"/>
        <w:rPr>
          <w:rFonts w:ascii="Titillium Web" w:eastAsia="Titillium Web" w:hAnsi="Titillium Web" w:cs="Titillium Web"/>
          <w:b/>
          <w:color w:val="000000"/>
        </w:rPr>
      </w:pPr>
    </w:p>
    <w:p w14:paraId="40D3CA4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Tab. 3 - Indicatori di offerta di lavoro, forze di lavoro, occupati e</w:t>
      </w:r>
    </w:p>
    <w:p w14:paraId="1803702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persone in cerca di lavoro in provincia di Trento nel primo semestre 2024</w:t>
      </w:r>
    </w:p>
    <w:p w14:paraId="56F1DBF6"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(valori assoluti e percentuali, variazioni assolute, percentuali e di punti percentuali)*</w:t>
      </w:r>
    </w:p>
    <w:p w14:paraId="17903FC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p>
    <w:p w14:paraId="13EAFC0D"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ind w:left="-224"/>
        <w:jc w:val="center"/>
        <w:rPr>
          <w:rFonts w:ascii="Times New Roman" w:eastAsia="Times New Roman" w:hAnsi="Times New Roman" w:cs="Times New Roman"/>
          <w:color w:val="000000"/>
          <w:sz w:val="24"/>
          <w:szCs w:val="24"/>
        </w:rPr>
      </w:pPr>
      <w:r w:rsidRPr="00DA5C83">
        <w:rPr>
          <w:noProof/>
          <w:szCs w:val="24"/>
          <w:lang w:eastAsia="it-IT"/>
        </w:rPr>
        <w:drawing>
          <wp:inline distT="0" distB="0" distL="0" distR="0" wp14:anchorId="308F333A" wp14:editId="00AD16A2">
            <wp:extent cx="5733415" cy="7122718"/>
            <wp:effectExtent l="1905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3415" cy="7122718"/>
                    </a:xfrm>
                    <a:prstGeom prst="rect">
                      <a:avLst/>
                    </a:prstGeom>
                    <a:noFill/>
                    <a:ln w="9525">
                      <a:noFill/>
                      <a:miter lim="800000"/>
                      <a:headEnd/>
                      <a:tailEnd/>
                    </a:ln>
                  </pic:spPr>
                </pic:pic>
              </a:graphicData>
            </a:graphic>
          </wp:inline>
        </w:drawing>
      </w:r>
    </w:p>
    <w:p w14:paraId="38D43AE4"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98"/>
        <w:rPr>
          <w:rFonts w:ascii="Titillium Web" w:eastAsia="Titillium Web" w:hAnsi="Titillium Web" w:cs="Titillium Web"/>
          <w:color w:val="000000"/>
          <w:sz w:val="18"/>
          <w:szCs w:val="18"/>
        </w:rPr>
      </w:pPr>
      <w:r w:rsidRPr="00DA5C83">
        <w:rPr>
          <w:rFonts w:ascii="Titillium Web" w:eastAsia="Titillium Web" w:hAnsi="Titillium Web" w:cs="Titillium Web"/>
          <w:color w:val="000000"/>
          <w:sz w:val="18"/>
          <w:szCs w:val="18"/>
        </w:rPr>
        <w:t>* I valori assoluti sono arrotondati alle centinaia. Per questo motivo, a volte, il totale può differire dalla somma dei singoli valori. Le variazioni sono calcolate sui valori non arrotondati. I dati rappresentano l</w:t>
      </w:r>
      <w:r>
        <w:rPr>
          <w:rFonts w:ascii="Titillium Web" w:eastAsia="Titillium Web" w:hAnsi="Titillium Web" w:cs="Titillium Web"/>
          <w:color w:val="000000"/>
          <w:sz w:val="18"/>
          <w:szCs w:val="18"/>
        </w:rPr>
        <w:t>a media del primo e secondo  trimestre</w:t>
      </w:r>
    </w:p>
    <w:p w14:paraId="40E41133"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98"/>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Ufficio dati e funzioni di sistema su dati Rilevazione sulle Forze di lavoro Istat-ISPAT</w:t>
      </w:r>
    </w:p>
    <w:p w14:paraId="0874993D"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p>
    <w:p w14:paraId="7C27661D"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0E85662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 4 - Indicatori di offerta di lavoro per ambiti territoriali nel primo semestre 2024</w:t>
      </w:r>
    </w:p>
    <w:p w14:paraId="2EAC3371"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(valori percentuali e differenze punti percentuali)*</w:t>
      </w:r>
    </w:p>
    <w:p w14:paraId="1F3E510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p>
    <w:p w14:paraId="34B6CD90"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jc w:val="center"/>
        <w:rPr>
          <w:rFonts w:ascii="Times New Roman" w:eastAsia="Times New Roman" w:hAnsi="Times New Roman" w:cs="Times New Roman"/>
          <w:color w:val="000000"/>
          <w:sz w:val="24"/>
          <w:szCs w:val="24"/>
        </w:rPr>
      </w:pPr>
      <w:r w:rsidRPr="00666F8A">
        <w:rPr>
          <w:noProof/>
          <w:szCs w:val="24"/>
          <w:lang w:eastAsia="it-IT"/>
        </w:rPr>
        <w:drawing>
          <wp:inline distT="0" distB="0" distL="0" distR="0" wp14:anchorId="0B4A012C" wp14:editId="311BB0EE">
            <wp:extent cx="5733415" cy="4651805"/>
            <wp:effectExtent l="19050" t="0" r="63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33415" cy="4651805"/>
                    </a:xfrm>
                    <a:prstGeom prst="rect">
                      <a:avLst/>
                    </a:prstGeom>
                    <a:noFill/>
                    <a:ln w="9525">
                      <a:noFill/>
                      <a:miter lim="800000"/>
                      <a:headEnd/>
                      <a:tailEnd/>
                    </a:ln>
                  </pic:spPr>
                </pic:pic>
              </a:graphicData>
            </a:graphic>
          </wp:inline>
        </w:drawing>
      </w:r>
    </w:p>
    <w:p w14:paraId="63F8CF3F"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42"/>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 I tassi rappresentano la media del primo e secondo trimestre</w:t>
      </w:r>
    </w:p>
    <w:p w14:paraId="5B339E18"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42"/>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Fonte: Ufficio dati e funzioni di sistema su dati Rilevazione sulle Forze di lavoro Istat-ISPAT</w:t>
      </w:r>
    </w:p>
    <w:p w14:paraId="6644E25F"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p>
    <w:p w14:paraId="7BAD46AD"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417D57D4"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 5 - Occupati dipendenti nel primo semestre 2024 in provincia di Trento </w:t>
      </w:r>
    </w:p>
    <w:p w14:paraId="009F38F6"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(valori assoluti e percentuali, variazioni assolute e percentuali)*</w:t>
      </w:r>
    </w:p>
    <w:p w14:paraId="7758D9C7"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p>
    <w:p w14:paraId="26A7B223"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jc w:val="center"/>
        <w:rPr>
          <w:rFonts w:ascii="Times New Roman" w:eastAsia="Times New Roman" w:hAnsi="Times New Roman" w:cs="Times New Roman"/>
          <w:color w:val="000000"/>
          <w:sz w:val="24"/>
          <w:szCs w:val="24"/>
        </w:rPr>
      </w:pPr>
      <w:r w:rsidRPr="00DA5C83">
        <w:rPr>
          <w:noProof/>
          <w:szCs w:val="24"/>
          <w:lang w:eastAsia="it-IT"/>
        </w:rPr>
        <w:drawing>
          <wp:inline distT="0" distB="0" distL="0" distR="0" wp14:anchorId="0E5F656E" wp14:editId="7CC2E950">
            <wp:extent cx="5733415" cy="7126316"/>
            <wp:effectExtent l="1905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33415" cy="7126316"/>
                    </a:xfrm>
                    <a:prstGeom prst="rect">
                      <a:avLst/>
                    </a:prstGeom>
                    <a:noFill/>
                    <a:ln w="9525">
                      <a:noFill/>
                      <a:miter lim="800000"/>
                      <a:headEnd/>
                      <a:tailEnd/>
                    </a:ln>
                  </pic:spPr>
                </pic:pic>
              </a:graphicData>
            </a:graphic>
          </wp:inline>
        </w:drawing>
      </w:r>
    </w:p>
    <w:p w14:paraId="0A69BE10"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28"/>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 xml:space="preserve">* I dati derivano dalla fonte amministrativa delle Comunicazioni Obbligatorie e rappresentano la media del primo e secondo trimestre dell’anno </w:t>
      </w:r>
    </w:p>
    <w:p w14:paraId="15AD1B05"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28"/>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 Al netto degli occupati in settori non conosciuti</w:t>
      </w:r>
    </w:p>
    <w:p w14:paraId="2CF252ED"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28"/>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Fonte: Ufficio dati e funzioni di sistema su dati Centri per l'Impiego</w:t>
      </w:r>
    </w:p>
    <w:p w14:paraId="67642C35"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rPr>
          <w:rFonts w:ascii="Times New Roman" w:eastAsia="Times New Roman" w:hAnsi="Times New Roman" w:cs="Times New Roman"/>
          <w:color w:val="000000"/>
          <w:sz w:val="24"/>
          <w:szCs w:val="24"/>
        </w:rPr>
      </w:pPr>
    </w:p>
    <w:p w14:paraId="0900CC7E"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7EB1AC13"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 6 – Dinamica delle assunzioni nel primo semestre 20</w:t>
      </w:r>
      <w:r w:rsidR="00353EC6">
        <w:rPr>
          <w:rFonts w:ascii="Times New Roman" w:eastAsia="Times New Roman" w:hAnsi="Times New Roman" w:cs="Times New Roman"/>
          <w:b/>
          <w:color w:val="000000"/>
        </w:rPr>
        <w:t>24</w:t>
      </w:r>
      <w:r>
        <w:rPr>
          <w:rFonts w:ascii="Times New Roman" w:eastAsia="Times New Roman" w:hAnsi="Times New Roman" w:cs="Times New Roman"/>
          <w:b/>
          <w:color w:val="000000"/>
        </w:rPr>
        <w:t xml:space="preserve"> in provincia di Trento </w:t>
      </w:r>
    </w:p>
    <w:p w14:paraId="01235ED9"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(valori assoluti e variazioni assolute e percentuali)</w:t>
      </w:r>
    </w:p>
    <w:p w14:paraId="44FA6DBE" w14:textId="77777777" w:rsidR="00353EC6" w:rsidRDefault="00353EC6"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5650F3BB" w14:textId="77777777" w:rsidR="007C5A8D" w:rsidRDefault="009D2070" w:rsidP="00341CE3">
      <w:pPr>
        <w:pBdr>
          <w:top w:val="none" w:sz="0" w:space="0" w:color="000000"/>
          <w:left w:val="none" w:sz="0" w:space="0" w:color="000000"/>
          <w:bottom w:val="none" w:sz="0" w:space="0" w:color="000000"/>
          <w:right w:val="none" w:sz="0" w:space="0" w:color="000000"/>
          <w:between w:val="nil"/>
        </w:pBdr>
        <w:spacing w:after="0" w:line="240" w:lineRule="auto"/>
        <w:rPr>
          <w:rFonts w:ascii="Times New Roman" w:eastAsia="Times New Roman" w:hAnsi="Times New Roman" w:cs="Times New Roman"/>
          <w:color w:val="000000"/>
          <w:sz w:val="24"/>
          <w:szCs w:val="24"/>
        </w:rPr>
      </w:pPr>
      <w:r w:rsidRPr="009D2070">
        <w:rPr>
          <w:noProof/>
          <w:szCs w:val="24"/>
        </w:rPr>
        <w:drawing>
          <wp:inline distT="0" distB="0" distL="0" distR="0" wp14:anchorId="5C7D9B08" wp14:editId="59B178F7">
            <wp:extent cx="6120130" cy="7345386"/>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130" cy="7345386"/>
                    </a:xfrm>
                    <a:prstGeom prst="rect">
                      <a:avLst/>
                    </a:prstGeom>
                    <a:noFill/>
                    <a:ln w="9525">
                      <a:noFill/>
                      <a:miter lim="800000"/>
                      <a:headEnd/>
                      <a:tailEnd/>
                    </a:ln>
                  </pic:spPr>
                </pic:pic>
              </a:graphicData>
            </a:graphic>
          </wp:inline>
        </w:drawing>
      </w:r>
    </w:p>
    <w:p w14:paraId="7AA32CD7"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rPr>
          <w:rFonts w:ascii="Titillium Web" w:eastAsia="Titillium Web" w:hAnsi="Titillium Web" w:cs="Titillium Web"/>
          <w:b/>
          <w:color w:val="000000"/>
        </w:rPr>
      </w:pPr>
      <w:r>
        <w:rPr>
          <w:rFonts w:ascii="Titillium Web" w:eastAsia="Titillium Web" w:hAnsi="Titillium Web" w:cs="Titillium Web"/>
          <w:color w:val="000000"/>
          <w:sz w:val="18"/>
          <w:szCs w:val="18"/>
        </w:rPr>
        <w:t>Fonte: Ufficio dati e funzioni di sistema su dati Agenzia del Lavoro (Centri per l'Impiego) - PAT</w:t>
      </w:r>
    </w:p>
    <w:p w14:paraId="60FC2120"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rPr>
          <w:rFonts w:ascii="Times New Roman" w:eastAsia="Times New Roman" w:hAnsi="Times New Roman" w:cs="Times New Roman"/>
          <w:color w:val="000000"/>
          <w:sz w:val="24"/>
          <w:szCs w:val="24"/>
        </w:rPr>
      </w:pPr>
    </w:p>
    <w:p w14:paraId="438FAD8E"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7A01EDC2"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 7 – </w:t>
      </w:r>
      <w:r w:rsidRPr="009E0C43">
        <w:rPr>
          <w:rFonts w:ascii="Times New Roman" w:eastAsia="Times New Roman" w:hAnsi="Times New Roman" w:cs="Times New Roman"/>
          <w:b/>
          <w:color w:val="000000"/>
        </w:rPr>
        <w:t xml:space="preserve">Ore di cassa integrazione autorizzate in provincia di Trento nel primo semestre 2024  </w:t>
      </w:r>
    </w:p>
    <w:p w14:paraId="370B2F20"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r w:rsidRPr="009E0C43">
        <w:rPr>
          <w:rFonts w:ascii="Times New Roman" w:eastAsia="Times New Roman" w:hAnsi="Times New Roman" w:cs="Times New Roman"/>
          <w:b/>
          <w:color w:val="000000"/>
        </w:rPr>
        <w:t>(valori assoluti e percentuali, variazioni assolute e percentuali)</w:t>
      </w:r>
    </w:p>
    <w:p w14:paraId="431BBE02" w14:textId="77777777" w:rsidR="00341CE3" w:rsidRDefault="00341CE3" w:rsidP="00341CE3">
      <w:pPr>
        <w:keepNext/>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b/>
          <w:color w:val="000000"/>
        </w:rPr>
      </w:pPr>
    </w:p>
    <w:p w14:paraId="1A553556"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240" w:line="240" w:lineRule="auto"/>
        <w:jc w:val="center"/>
        <w:rPr>
          <w:rFonts w:ascii="Times New Roman" w:eastAsia="Times New Roman" w:hAnsi="Times New Roman" w:cs="Times New Roman"/>
          <w:color w:val="000000"/>
          <w:sz w:val="24"/>
          <w:szCs w:val="24"/>
        </w:rPr>
      </w:pPr>
      <w:r w:rsidRPr="00666F8A">
        <w:rPr>
          <w:noProof/>
          <w:szCs w:val="24"/>
          <w:lang w:eastAsia="it-IT"/>
        </w:rPr>
        <w:drawing>
          <wp:inline distT="0" distB="0" distL="0" distR="0" wp14:anchorId="087A8DA0" wp14:editId="6097EA32">
            <wp:extent cx="5733415" cy="1582142"/>
            <wp:effectExtent l="19050" t="0" r="63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733415" cy="1582142"/>
                    </a:xfrm>
                    <a:prstGeom prst="rect">
                      <a:avLst/>
                    </a:prstGeom>
                    <a:noFill/>
                    <a:ln w="9525">
                      <a:noFill/>
                      <a:miter lim="800000"/>
                      <a:headEnd/>
                      <a:tailEnd/>
                    </a:ln>
                  </pic:spPr>
                </pic:pic>
              </a:graphicData>
            </a:graphic>
          </wp:inline>
        </w:drawing>
      </w:r>
    </w:p>
    <w:p w14:paraId="51EBD937"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ind w:left="28"/>
        <w:jc w:val="both"/>
        <w:rPr>
          <w:rFonts w:ascii="Times New Roman" w:eastAsia="Times New Roman" w:hAnsi="Times New Roman" w:cs="Times New Roman"/>
          <w:color w:val="000000"/>
          <w:sz w:val="24"/>
          <w:szCs w:val="24"/>
        </w:rPr>
      </w:pPr>
      <w:r>
        <w:rPr>
          <w:rFonts w:ascii="Titillium Web" w:eastAsia="Titillium Web" w:hAnsi="Titillium Web" w:cs="Titillium Web"/>
          <w:color w:val="000000"/>
          <w:sz w:val="18"/>
          <w:szCs w:val="18"/>
        </w:rPr>
        <w:t>Fonte: Ufficio dati e funzioni di sistema su dati INPS</w:t>
      </w:r>
    </w:p>
    <w:p w14:paraId="5FF8FCED" w14:textId="77777777" w:rsidR="00341CE3" w:rsidRDefault="00341CE3" w:rsidP="00341CE3">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0"/>
        </w:rPr>
      </w:pPr>
    </w:p>
    <w:p w14:paraId="6E0C0A27" w14:textId="77777777" w:rsidR="00341CE3" w:rsidRDefault="00341CE3" w:rsidP="007F2798">
      <w:pPr>
        <w:pStyle w:val="Testo"/>
        <w:ind w:firstLine="0"/>
        <w:rPr>
          <w:rFonts w:eastAsia="Arial"/>
        </w:rPr>
      </w:pPr>
    </w:p>
    <w:p w14:paraId="5EEE763F" w14:textId="77777777" w:rsidR="00C73366" w:rsidRDefault="00C73366" w:rsidP="00AE40AB">
      <w:pPr>
        <w:pStyle w:val="Testo"/>
        <w:ind w:firstLine="0"/>
        <w:rPr>
          <w:rFonts w:eastAsia="Arial"/>
        </w:rPr>
      </w:pPr>
    </w:p>
    <w:p w14:paraId="7D3B474B" w14:textId="77777777" w:rsidR="00C73366" w:rsidRDefault="00C73366" w:rsidP="00AE40AB">
      <w:pPr>
        <w:pStyle w:val="Testo"/>
        <w:ind w:firstLine="0"/>
        <w:rPr>
          <w:rFonts w:eastAsia="Arial"/>
        </w:rPr>
      </w:pPr>
    </w:p>
    <w:p w14:paraId="662B047A" w14:textId="77777777" w:rsidR="00C73366" w:rsidRDefault="00C73366" w:rsidP="00AE40AB">
      <w:pPr>
        <w:pStyle w:val="Testo"/>
        <w:ind w:firstLine="0"/>
        <w:rPr>
          <w:rFonts w:eastAsia="Arial"/>
        </w:rPr>
      </w:pPr>
    </w:p>
    <w:p w14:paraId="1B579C75" w14:textId="77777777" w:rsidR="00C73366" w:rsidRDefault="00C73366" w:rsidP="00AE40AB">
      <w:pPr>
        <w:pStyle w:val="Testo"/>
        <w:ind w:firstLine="0"/>
        <w:rPr>
          <w:rFonts w:eastAsia="Arial"/>
        </w:rPr>
      </w:pPr>
    </w:p>
    <w:p w14:paraId="0B19E9B5" w14:textId="77777777" w:rsidR="00C73366" w:rsidRPr="002070BA" w:rsidRDefault="00C73366" w:rsidP="00AE40AB">
      <w:pPr>
        <w:pStyle w:val="Testo"/>
        <w:ind w:firstLine="0"/>
        <w:rPr>
          <w:rFonts w:eastAsia="Arial"/>
        </w:rPr>
      </w:pPr>
    </w:p>
    <w:p w14:paraId="7C2776E1" w14:textId="77777777" w:rsidR="00183317" w:rsidRPr="00077E33" w:rsidRDefault="00183317" w:rsidP="00077E33">
      <w:pPr>
        <w:pStyle w:val="Testo"/>
        <w:ind w:firstLine="0"/>
        <w:rPr>
          <w:rFonts w:eastAsia="Arial"/>
        </w:rPr>
      </w:pPr>
    </w:p>
    <w:p w14:paraId="11088370" w14:textId="77777777" w:rsidR="000C6FE2" w:rsidRDefault="000C6FE2"/>
    <w:sectPr w:rsidR="000C6FE2" w:rsidSect="000C6F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97360"/>
    <w:multiLevelType w:val="multilevel"/>
    <w:tmpl w:val="FFFFFFFF"/>
    <w:lvl w:ilvl="0">
      <w:start w:val="1"/>
      <w:numFmt w:val="bullet"/>
      <w:lvlText w:val="-"/>
      <w:lvlJc w:val="left"/>
      <w:pPr>
        <w:ind w:left="720" w:hanging="360"/>
      </w:pPr>
      <w:rPr>
        <w:rFonts w:ascii="Times New Roman" w:eastAsia="Times New Roman" w:hAnsi="Times New Roman"/>
        <w:b w:val="0"/>
        <w:i w:val="0"/>
        <w:smallCaps w:val="0"/>
        <w:strike w:val="0"/>
        <w:vertAlign w:val="baseline"/>
      </w:rPr>
    </w:lvl>
    <w:lvl w:ilvl="1">
      <w:start w:val="1"/>
      <w:numFmt w:val="bullet"/>
      <w:lvlText w:val="o"/>
      <w:lvlJc w:val="left"/>
      <w:pPr>
        <w:ind w:left="1440" w:hanging="360"/>
      </w:pPr>
      <w:rPr>
        <w:rFonts w:ascii="Times New Roman" w:eastAsia="Times New Roman" w:hAnsi="Times New Roman"/>
        <w:b w:val="0"/>
        <w:i w:val="0"/>
        <w:smallCaps w:val="0"/>
        <w:strike w:val="0"/>
        <w:vertAlign w:val="baseline"/>
      </w:rPr>
    </w:lvl>
    <w:lvl w:ilvl="2">
      <w:start w:val="1"/>
      <w:numFmt w:val="bullet"/>
      <w:lvlText w:val="▪"/>
      <w:lvlJc w:val="left"/>
      <w:pPr>
        <w:ind w:left="2160" w:hanging="360"/>
      </w:pPr>
      <w:rPr>
        <w:rFonts w:ascii="Times New Roman" w:eastAsia="Times New Roman" w:hAnsi="Times New Roman"/>
        <w:b w:val="0"/>
        <w:i w:val="0"/>
        <w:smallCaps w:val="0"/>
        <w:strike w:val="0"/>
        <w:vertAlign w:val="baseline"/>
      </w:rPr>
    </w:lvl>
    <w:lvl w:ilvl="3">
      <w:start w:val="1"/>
      <w:numFmt w:val="bullet"/>
      <w:lvlText w:val="•"/>
      <w:lvlJc w:val="left"/>
      <w:pPr>
        <w:ind w:left="2880" w:hanging="360"/>
      </w:pPr>
      <w:rPr>
        <w:rFonts w:ascii="Times New Roman" w:eastAsia="Times New Roman" w:hAnsi="Times New Roman"/>
        <w:b w:val="0"/>
        <w:i w:val="0"/>
        <w:smallCaps w:val="0"/>
        <w:strike w:val="0"/>
        <w:vertAlign w:val="baseline"/>
      </w:rPr>
    </w:lvl>
    <w:lvl w:ilvl="4">
      <w:start w:val="1"/>
      <w:numFmt w:val="bullet"/>
      <w:lvlText w:val="o"/>
      <w:lvlJc w:val="left"/>
      <w:pPr>
        <w:ind w:left="3600" w:hanging="360"/>
      </w:pPr>
      <w:rPr>
        <w:rFonts w:ascii="Times New Roman" w:eastAsia="Times New Roman" w:hAnsi="Times New Roman"/>
        <w:b w:val="0"/>
        <w:i w:val="0"/>
        <w:smallCaps w:val="0"/>
        <w:strike w:val="0"/>
        <w:vertAlign w:val="baseline"/>
      </w:rPr>
    </w:lvl>
    <w:lvl w:ilvl="5">
      <w:start w:val="1"/>
      <w:numFmt w:val="bullet"/>
      <w:lvlText w:val="▪"/>
      <w:lvlJc w:val="left"/>
      <w:pPr>
        <w:ind w:left="4320" w:hanging="360"/>
      </w:pPr>
      <w:rPr>
        <w:rFonts w:ascii="Times New Roman" w:eastAsia="Times New Roman" w:hAnsi="Times New Roman"/>
        <w:b w:val="0"/>
        <w:i w:val="0"/>
        <w:smallCaps w:val="0"/>
        <w:strike w:val="0"/>
        <w:vertAlign w:val="baseline"/>
      </w:rPr>
    </w:lvl>
    <w:lvl w:ilvl="6">
      <w:start w:val="1"/>
      <w:numFmt w:val="bullet"/>
      <w:lvlText w:val="•"/>
      <w:lvlJc w:val="left"/>
      <w:pPr>
        <w:ind w:left="5040" w:hanging="360"/>
      </w:pPr>
      <w:rPr>
        <w:rFonts w:ascii="Times New Roman" w:eastAsia="Times New Roman" w:hAnsi="Times New Roman"/>
        <w:b w:val="0"/>
        <w:i w:val="0"/>
        <w:smallCaps w:val="0"/>
        <w:strike w:val="0"/>
        <w:vertAlign w:val="baseline"/>
      </w:rPr>
    </w:lvl>
    <w:lvl w:ilvl="7">
      <w:start w:val="1"/>
      <w:numFmt w:val="bullet"/>
      <w:lvlText w:val="o"/>
      <w:lvlJc w:val="left"/>
      <w:pPr>
        <w:ind w:left="5760" w:hanging="360"/>
      </w:pPr>
      <w:rPr>
        <w:rFonts w:ascii="Times New Roman" w:eastAsia="Times New Roman" w:hAnsi="Times New Roman"/>
        <w:b w:val="0"/>
        <w:i w:val="0"/>
        <w:smallCaps w:val="0"/>
        <w:strike w:val="0"/>
        <w:vertAlign w:val="baseline"/>
      </w:rPr>
    </w:lvl>
    <w:lvl w:ilvl="8">
      <w:start w:val="1"/>
      <w:numFmt w:val="bullet"/>
      <w:lvlText w:val="▪"/>
      <w:lvlJc w:val="left"/>
      <w:pPr>
        <w:ind w:left="6480" w:hanging="360"/>
      </w:pPr>
      <w:rPr>
        <w:rFonts w:ascii="Times New Roman" w:eastAsia="Times New Roman" w:hAnsi="Times New Roman"/>
        <w:b w:val="0"/>
        <w:i w:val="0"/>
        <w:smallCaps w:val="0"/>
        <w:strike w:val="0"/>
        <w:vertAlign w:val="baseline"/>
      </w:rPr>
    </w:lvl>
  </w:abstractNum>
  <w:abstractNum w:abstractNumId="1" w15:restartNumberingAfterBreak="0">
    <w:nsid w:val="43277BF0"/>
    <w:multiLevelType w:val="multilevel"/>
    <w:tmpl w:val="D02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21D18"/>
    <w:multiLevelType w:val="multilevel"/>
    <w:tmpl w:val="9BBE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526292">
    <w:abstractNumId w:val="2"/>
  </w:num>
  <w:num w:numId="2" w16cid:durableId="1153789685">
    <w:abstractNumId w:val="0"/>
  </w:num>
  <w:num w:numId="3" w16cid:durableId="153885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7"/>
    <w:rsid w:val="00023CE2"/>
    <w:rsid w:val="000251EC"/>
    <w:rsid w:val="00030833"/>
    <w:rsid w:val="00077E33"/>
    <w:rsid w:val="000822E9"/>
    <w:rsid w:val="000B3098"/>
    <w:rsid w:val="000C6FE2"/>
    <w:rsid w:val="000E402F"/>
    <w:rsid w:val="00166123"/>
    <w:rsid w:val="00183317"/>
    <w:rsid w:val="00183F9C"/>
    <w:rsid w:val="001C7A35"/>
    <w:rsid w:val="00222A9B"/>
    <w:rsid w:val="002250B6"/>
    <w:rsid w:val="002624C2"/>
    <w:rsid w:val="00271BC8"/>
    <w:rsid w:val="002925AD"/>
    <w:rsid w:val="002A4908"/>
    <w:rsid w:val="002E1AEF"/>
    <w:rsid w:val="002E1E9C"/>
    <w:rsid w:val="00301C3A"/>
    <w:rsid w:val="00341CE3"/>
    <w:rsid w:val="00353EC6"/>
    <w:rsid w:val="00440B52"/>
    <w:rsid w:val="00475006"/>
    <w:rsid w:val="004903EA"/>
    <w:rsid w:val="00490589"/>
    <w:rsid w:val="004B0F26"/>
    <w:rsid w:val="005075DE"/>
    <w:rsid w:val="005D4387"/>
    <w:rsid w:val="00634D20"/>
    <w:rsid w:val="006960E5"/>
    <w:rsid w:val="007C5A8D"/>
    <w:rsid w:val="007E365F"/>
    <w:rsid w:val="007F2798"/>
    <w:rsid w:val="0081284A"/>
    <w:rsid w:val="00820324"/>
    <w:rsid w:val="00872521"/>
    <w:rsid w:val="008742A1"/>
    <w:rsid w:val="00876AEB"/>
    <w:rsid w:val="008A03F6"/>
    <w:rsid w:val="008B7EAF"/>
    <w:rsid w:val="008F0E35"/>
    <w:rsid w:val="009345DA"/>
    <w:rsid w:val="009940D8"/>
    <w:rsid w:val="009D2070"/>
    <w:rsid w:val="009D4ECD"/>
    <w:rsid w:val="009F2F53"/>
    <w:rsid w:val="00A979BE"/>
    <w:rsid w:val="00AC5194"/>
    <w:rsid w:val="00AE40AB"/>
    <w:rsid w:val="00B007D0"/>
    <w:rsid w:val="00B2713B"/>
    <w:rsid w:val="00B446A0"/>
    <w:rsid w:val="00BB7526"/>
    <w:rsid w:val="00C32B39"/>
    <w:rsid w:val="00C73366"/>
    <w:rsid w:val="00CC41BF"/>
    <w:rsid w:val="00CC7476"/>
    <w:rsid w:val="00DC05C7"/>
    <w:rsid w:val="00DC6F70"/>
    <w:rsid w:val="00E10448"/>
    <w:rsid w:val="00E21485"/>
    <w:rsid w:val="00E61C76"/>
    <w:rsid w:val="00EB5BE1"/>
    <w:rsid w:val="00F07121"/>
    <w:rsid w:val="00F2727D"/>
    <w:rsid w:val="00F60B6A"/>
    <w:rsid w:val="00FE2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1657"/>
  <w15:docId w15:val="{FFC455C5-2CC7-4264-88B8-20A22A3A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F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33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
    <w:name w:val="Testo"/>
    <w:link w:val="TestoCarattere1"/>
    <w:rsid w:val="00183317"/>
    <w:pPr>
      <w:tabs>
        <w:tab w:val="left" w:pos="851"/>
      </w:tabs>
      <w:overflowPunct w:val="0"/>
      <w:autoSpaceDE w:val="0"/>
      <w:autoSpaceDN w:val="0"/>
      <w:adjustRightInd w:val="0"/>
      <w:spacing w:after="0" w:line="260" w:lineRule="exact"/>
      <w:ind w:firstLine="284"/>
      <w:jc w:val="both"/>
      <w:textAlignment w:val="baseline"/>
    </w:pPr>
    <w:rPr>
      <w:rFonts w:ascii="Times New Roman" w:eastAsia="Times New Roman" w:hAnsi="Times New Roman" w:cs="Times New Roman"/>
      <w:szCs w:val="20"/>
      <w:lang w:eastAsia="it-IT"/>
    </w:rPr>
  </w:style>
  <w:style w:type="character" w:customStyle="1" w:styleId="TestoCarattere1">
    <w:name w:val="Testo Carattere1"/>
    <w:link w:val="Testo"/>
    <w:rsid w:val="00183317"/>
    <w:rPr>
      <w:rFonts w:ascii="Times New Roman" w:eastAsia="Times New Roman" w:hAnsi="Times New Roman" w:cs="Times New Roman"/>
      <w:szCs w:val="20"/>
      <w:lang w:eastAsia="it-IT"/>
    </w:rPr>
  </w:style>
  <w:style w:type="character" w:customStyle="1" w:styleId="WW8Num2z0">
    <w:name w:val="WW8Num2z0"/>
    <w:rsid w:val="00C32B39"/>
  </w:style>
  <w:style w:type="table" w:customStyle="1" w:styleId="TableNormal">
    <w:name w:val="Table Normal"/>
    <w:rsid w:val="007F2798"/>
    <w:rPr>
      <w:rFonts w:ascii="Calibri" w:eastAsia="Calibri" w:hAnsi="Calibri" w:cs="Calibri"/>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41C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1CE3"/>
    <w:rPr>
      <w:rFonts w:ascii="Tahoma" w:hAnsi="Tahoma" w:cs="Tahoma"/>
      <w:sz w:val="16"/>
      <w:szCs w:val="16"/>
    </w:rPr>
  </w:style>
  <w:style w:type="paragraph" w:styleId="Paragrafoelenco">
    <w:name w:val="List Paragraph"/>
    <w:basedOn w:val="Normale"/>
    <w:uiPriority w:val="34"/>
    <w:qFormat/>
    <w:rsid w:val="00CC4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01491">
      <w:bodyDiv w:val="1"/>
      <w:marLeft w:val="0"/>
      <w:marRight w:val="0"/>
      <w:marTop w:val="0"/>
      <w:marBottom w:val="0"/>
      <w:divBdr>
        <w:top w:val="none" w:sz="0" w:space="0" w:color="auto"/>
        <w:left w:val="none" w:sz="0" w:space="0" w:color="auto"/>
        <w:bottom w:val="none" w:sz="0" w:space="0" w:color="auto"/>
        <w:right w:val="none" w:sz="0" w:space="0" w:color="auto"/>
      </w:divBdr>
    </w:div>
    <w:div w:id="566840966">
      <w:bodyDiv w:val="1"/>
      <w:marLeft w:val="0"/>
      <w:marRight w:val="0"/>
      <w:marTop w:val="0"/>
      <w:marBottom w:val="0"/>
      <w:divBdr>
        <w:top w:val="none" w:sz="0" w:space="0" w:color="auto"/>
        <w:left w:val="none" w:sz="0" w:space="0" w:color="auto"/>
        <w:bottom w:val="none" w:sz="0" w:space="0" w:color="auto"/>
        <w:right w:val="none" w:sz="0" w:space="0" w:color="auto"/>
      </w:divBdr>
    </w:div>
    <w:div w:id="635645559">
      <w:bodyDiv w:val="1"/>
      <w:marLeft w:val="0"/>
      <w:marRight w:val="0"/>
      <w:marTop w:val="0"/>
      <w:marBottom w:val="0"/>
      <w:divBdr>
        <w:top w:val="none" w:sz="0" w:space="0" w:color="auto"/>
        <w:left w:val="none" w:sz="0" w:space="0" w:color="auto"/>
        <w:bottom w:val="none" w:sz="0" w:space="0" w:color="auto"/>
        <w:right w:val="none" w:sz="0" w:space="0" w:color="auto"/>
      </w:divBdr>
    </w:div>
    <w:div w:id="743382521">
      <w:bodyDiv w:val="1"/>
      <w:marLeft w:val="0"/>
      <w:marRight w:val="0"/>
      <w:marTop w:val="0"/>
      <w:marBottom w:val="0"/>
      <w:divBdr>
        <w:top w:val="none" w:sz="0" w:space="0" w:color="auto"/>
        <w:left w:val="none" w:sz="0" w:space="0" w:color="auto"/>
        <w:bottom w:val="none" w:sz="0" w:space="0" w:color="auto"/>
        <w:right w:val="none" w:sz="0" w:space="0" w:color="auto"/>
      </w:divBdr>
    </w:div>
    <w:div w:id="11254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2CE915-8740-44CF-9A6C-F163757E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2677</Words>
  <Characters>15264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Agenzia del Lavoro - PAT</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pr30819</dc:creator>
  <cp:lastModifiedBy>Francesco Marcovecchio | TSM</cp:lastModifiedBy>
  <cp:revision>3</cp:revision>
  <cp:lastPrinted>2024-11-20T10:20:00Z</cp:lastPrinted>
  <dcterms:created xsi:type="dcterms:W3CDTF">2024-11-20T10:21:00Z</dcterms:created>
  <dcterms:modified xsi:type="dcterms:W3CDTF">2024-11-20T12:23:00Z</dcterms:modified>
</cp:coreProperties>
</file>