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2031365</wp:posOffset>
            </wp:positionH>
            <wp:positionV relativeFrom="paragraph">
              <wp:posOffset>-86995</wp:posOffset>
            </wp:positionV>
            <wp:extent cx="1988820" cy="704215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Times New Roman" w:ascii="Verdana" w:hAnsi="Verdana"/>
          <w:b/>
          <w:sz w:val="22"/>
          <w:szCs w:val="22"/>
        </w:rPr>
        <w:t xml:space="preserve">PRIMA RASSEGNA NAZIONALE VINI PIWI </w:t>
      </w:r>
    </w:p>
    <w:p>
      <w:pPr>
        <w:pStyle w:val="Normal"/>
        <w:jc w:val="center"/>
        <w:rPr>
          <w:rFonts w:ascii="Verdana" w:hAnsi="Verdana"/>
          <w:sz w:val="22"/>
          <w:szCs w:val="22"/>
        </w:rPr>
      </w:pPr>
      <w:r>
        <w:rPr>
          <w:rFonts w:cs="Times New Roman" w:ascii="Verdana" w:hAnsi="Verdana"/>
          <w:b/>
          <w:sz w:val="22"/>
          <w:szCs w:val="22"/>
        </w:rPr>
        <w:t>02/12/2021</w:t>
      </w:r>
    </w:p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jc w:val="both"/>
        <w:rPr>
          <w:rFonts w:ascii="Verdana" w:hAnsi="Verdana"/>
          <w:sz w:val="22"/>
          <w:szCs w:val="22"/>
        </w:rPr>
      </w:pPr>
      <w:r>
        <w:rPr>
          <w:rFonts w:cs="Times New Roman" w:ascii="Verdana" w:hAnsi="Verdana"/>
          <w:b/>
          <w:sz w:val="22"/>
          <w:szCs w:val="22"/>
        </w:rPr>
        <w:t xml:space="preserve">ABSTRACT </w:t>
      </w:r>
    </w:p>
    <w:p>
      <w:pPr>
        <w:pStyle w:val="Normal"/>
        <w:jc w:val="both"/>
        <w:rPr>
          <w:rFonts w:ascii="Verdana" w:hAnsi="Verdana"/>
          <w:sz w:val="22"/>
          <w:szCs w:val="22"/>
        </w:rPr>
      </w:pPr>
      <w:r>
        <w:rPr>
          <w:rFonts w:cs="Times New Roman" w:ascii="Verdana" w:hAnsi="Verdana"/>
          <w:b/>
          <w:sz w:val="22"/>
          <w:szCs w:val="22"/>
        </w:rPr>
        <w:t xml:space="preserve">"Il meticcio ci salverà o meglio salverà la viticoltura" </w:t>
      </w:r>
    </w:p>
    <w:p>
      <w:pPr>
        <w:pStyle w:val="Normal"/>
        <w:jc w:val="both"/>
        <w:rPr/>
      </w:pPr>
      <w:r>
        <w:rPr>
          <w:rFonts w:cs="Times New Roman" w:ascii="Verdana" w:hAnsi="Verdana"/>
          <w:b/>
          <w:sz w:val="22"/>
          <w:szCs w:val="22"/>
        </w:rPr>
        <w:t xml:space="preserve">prof. Attilio Scienza </w:t>
      </w:r>
    </w:p>
    <w:p>
      <w:pPr>
        <w:pStyle w:val="Normal"/>
        <w:jc w:val="both"/>
        <w:rPr/>
      </w:pPr>
      <w:r>
        <w:rPr>
          <w:rFonts w:cs="Times New Roman" w:ascii="Verdana" w:hAnsi="Verdana"/>
          <w:b/>
          <w:sz w:val="22"/>
          <w:szCs w:val="22"/>
        </w:rPr>
        <w:t xml:space="preserve">Università degli Studi di Milano </w:t>
      </w:r>
    </w:p>
    <w:p>
      <w:pPr>
        <w:pStyle w:val="Normal"/>
        <w:jc w:val="both"/>
        <w:rPr>
          <w:rFonts w:ascii="Verdana" w:hAnsi="Verdana" w:cs="Times New Roman"/>
          <w:sz w:val="22"/>
          <w:szCs w:val="22"/>
        </w:rPr>
      </w:pPr>
      <w:r>
        <w:rPr>
          <w:rFonts w:cs="Times New Roman" w:ascii="Verdana" w:hAnsi="Verdana"/>
          <w:sz w:val="22"/>
          <w:szCs w:val="22"/>
        </w:rPr>
      </w:r>
    </w:p>
    <w:p>
      <w:pPr>
        <w:pStyle w:val="Normal"/>
        <w:jc w:val="both"/>
        <w:rPr/>
      </w:pPr>
      <w:r>
        <w:rPr>
          <w:rFonts w:cs="Times New Roman" w:ascii="Verdana" w:hAnsi="Verdana"/>
          <w:sz w:val="22"/>
          <w:szCs w:val="22"/>
        </w:rPr>
        <w:t>Il 1700 fu un secolo fondamentale  per le conoscenze nel campo  delle scienze  naturali. Buffon per  gli animali e Linneo per i vegetali definiscono alcune categorie fondamentali per la comprensione delle diversità tra gli organismi viventi,</w:t>
      </w:r>
      <w:r>
        <w:rPr>
          <w:rFonts w:cs="Times New Roman" w:ascii="Verdana" w:hAnsi="Verdana"/>
          <w:sz w:val="22"/>
          <w:szCs w:val="22"/>
        </w:rPr>
        <w:t xml:space="preserve"> </w:t>
      </w:r>
      <w:r>
        <w:rPr>
          <w:rFonts w:cs="Times New Roman" w:ascii="Verdana" w:hAnsi="Verdana"/>
          <w:sz w:val="22"/>
          <w:szCs w:val="22"/>
        </w:rPr>
        <w:t>una nomenclatura capace di classificare  tutte le specie animali e vegetali, basata sul genere e la specie. La storia della macrotassonomia, la scienza della classificazione, è uno straordinario viaggio nella diversità delle forme della vita, ricco di scoperte  e di colpi di scena, che alimenta nell’800 il concetto di razza umana, attraverso la fisiognomica lombrosiana.</w:t>
      </w:r>
      <w:r>
        <w:rPr>
          <w:rFonts w:cs="Times New Roman" w:ascii="Verdana" w:hAnsi="Verdana"/>
          <w:b/>
          <w:bCs/>
          <w:sz w:val="22"/>
          <w:szCs w:val="22"/>
        </w:rPr>
        <w:t xml:space="preserve"> </w:t>
      </w:r>
    </w:p>
    <w:p>
      <w:pPr>
        <w:pStyle w:val="Normal"/>
        <w:jc w:val="both"/>
        <w:rPr/>
      </w:pPr>
      <w:r>
        <w:rPr>
          <w:rFonts w:cs="Times New Roman" w:ascii="Verdana" w:hAnsi="Verdana"/>
          <w:sz w:val="22"/>
          <w:szCs w:val="22"/>
        </w:rPr>
        <w:t>Le nozioni di «razze superiori» e «razze inferiori» nascono nell’Ottocento con la pubblicazione del</w:t>
      </w:r>
      <w:r>
        <w:rPr>
          <w:rFonts w:cs="Times New Roman" w:ascii="Verdana" w:hAnsi="Verdana"/>
          <w:sz w:val="22"/>
          <w:szCs w:val="22"/>
        </w:rPr>
        <w:t xml:space="preserve"> </w:t>
      </w:r>
      <w:r>
        <w:rPr>
          <w:rFonts w:cs="Times New Roman" w:ascii="Verdana" w:hAnsi="Verdana"/>
          <w:i/>
          <w:iCs/>
          <w:sz w:val="22"/>
          <w:szCs w:val="22"/>
        </w:rPr>
        <w:t>Saggio sulla disuguaglianza delle razze umane</w:t>
      </w:r>
      <w:r>
        <w:rPr>
          <w:rFonts w:cs="Times New Roman" w:ascii="Verdana" w:hAnsi="Verdana"/>
          <w:sz w:val="22"/>
          <w:szCs w:val="22"/>
        </w:rPr>
        <w:t> (1853-55) di Joseph Arthur de Gobineau. Il saggio stabiliva, infatti, l’ineguaglianza originaria delle razze, creando una tipologia fondata su criteri di gerarchizzazione ampiamente soggettivi come la</w:t>
      </w:r>
      <w:r>
        <w:rPr>
          <w:rFonts w:cs="Times New Roman" w:ascii="Verdana" w:hAnsi="Verdana"/>
          <w:sz w:val="22"/>
          <w:szCs w:val="22"/>
        </w:rPr>
        <w:t xml:space="preserve"> </w:t>
      </w:r>
      <w:r>
        <w:rPr>
          <w:rFonts w:cs="Times New Roman" w:ascii="Verdana" w:hAnsi="Verdana"/>
          <w:iCs/>
          <w:sz w:val="22"/>
          <w:szCs w:val="22"/>
        </w:rPr>
        <w:t>«bellezza delle forme, forza fisica e intelligenza». Criteri utilizzati dal nazismo per discriminare ariani ed ebrei.  Bisogna arrivare alla fine degli anni 70 del secolo scorso con Luigi Cavalli Sforza  dove nel suo libro  “ Introduzione alla genetica umana”  del 1976 contesta il significato di razza, sostituendolo con la parola popolazione o gruppo etnico. Il concetto di razza ha delle motivazioni di carattere culturale,</w:t>
      </w:r>
      <w:r>
        <w:rPr>
          <w:rFonts w:cs="Times New Roman" w:ascii="Verdana" w:hAnsi="Verdana"/>
          <w:iCs/>
          <w:sz w:val="22"/>
          <w:szCs w:val="22"/>
        </w:rPr>
        <w:t xml:space="preserve"> </w:t>
      </w:r>
      <w:r>
        <w:rPr>
          <w:rFonts w:cs="Times New Roman" w:ascii="Verdana" w:hAnsi="Verdana"/>
          <w:iCs/>
          <w:sz w:val="22"/>
          <w:szCs w:val="22"/>
        </w:rPr>
        <w:t>ma non ha basi biologiche.</w:t>
      </w:r>
      <w:r>
        <w:rPr>
          <w:rFonts w:cs="Times New Roman" w:ascii="Verdana" w:hAnsi="Verdana"/>
          <w:iCs/>
          <w:sz w:val="22"/>
          <w:szCs w:val="22"/>
        </w:rPr>
        <w:t xml:space="preserve"> </w:t>
      </w:r>
      <w:r>
        <w:rPr>
          <w:rFonts w:cs="Times New Roman" w:ascii="Verdana" w:hAnsi="Verdana"/>
          <w:bCs/>
          <w:iCs/>
          <w:sz w:val="22"/>
          <w:szCs w:val="22"/>
        </w:rPr>
        <w:t>I caratteri che ci permettono di assegnare un individuo a una delle principali popolazioni umane</w:t>
      </w:r>
      <w:r>
        <w:rPr>
          <w:rFonts w:cs="Times New Roman" w:ascii="Verdana" w:hAnsi="Verdana"/>
          <w:bCs/>
          <w:iCs/>
          <w:sz w:val="22"/>
          <w:szCs w:val="22"/>
        </w:rPr>
        <w:t xml:space="preserve"> </w:t>
      </w:r>
      <w:r>
        <w:rPr>
          <w:rFonts w:cs="Times New Roman" w:ascii="Verdana" w:hAnsi="Verdana"/>
          <w:bCs/>
          <w:iCs/>
          <w:sz w:val="22"/>
          <w:szCs w:val="22"/>
        </w:rPr>
        <w:t>sono il colore della pelle, il colore e la forma dei capelli, la</w:t>
      </w:r>
      <w:r>
        <w:rPr>
          <w:rFonts w:cs="Times New Roman" w:ascii="Verdana" w:hAnsi="Verdana"/>
          <w:bCs/>
          <w:iCs/>
          <w:sz w:val="22"/>
          <w:szCs w:val="22"/>
        </w:rPr>
        <w:t xml:space="preserve"> </w:t>
      </w:r>
      <w:r>
        <w:rPr>
          <w:rFonts w:cs="Times New Roman" w:ascii="Verdana" w:hAnsi="Verdana"/>
          <w:bCs/>
          <w:iCs/>
          <w:sz w:val="22"/>
          <w:szCs w:val="22"/>
        </w:rPr>
        <w:t>forma del corpo e ancora più della faccia e degli occhi. Queste differenze sono senz’altro er</w:t>
      </w:r>
      <w:r>
        <w:rPr>
          <w:rFonts w:cs="Times New Roman" w:ascii="Verdana" w:hAnsi="Verdana"/>
          <w:bCs/>
          <w:iCs/>
          <w:sz w:val="22"/>
          <w:szCs w:val="22"/>
        </w:rPr>
        <w:t>ed</w:t>
      </w:r>
      <w:r>
        <w:rPr>
          <w:rFonts w:cs="Times New Roman" w:ascii="Verdana" w:hAnsi="Verdana"/>
          <w:bCs/>
          <w:iCs/>
          <w:sz w:val="22"/>
          <w:szCs w:val="22"/>
        </w:rPr>
        <w:t>itarie e possono essere ricondotte in</w:t>
      </w:r>
      <w:r>
        <w:rPr>
          <w:rFonts w:cs="Times New Roman" w:ascii="Verdana" w:hAnsi="Verdana"/>
          <w:bCs/>
          <w:iCs/>
          <w:sz w:val="22"/>
          <w:szCs w:val="22"/>
        </w:rPr>
        <w:t xml:space="preserve"> </w:t>
      </w:r>
      <w:r>
        <w:rPr>
          <w:rFonts w:cs="Times New Roman" w:ascii="Verdana" w:hAnsi="Verdana"/>
          <w:bCs/>
          <w:iCs/>
          <w:sz w:val="22"/>
          <w:szCs w:val="22"/>
        </w:rPr>
        <w:t>buona parte ad adattamenti ambientali</w:t>
      </w:r>
      <w:r>
        <w:rPr>
          <w:rFonts w:cs="Times New Roman" w:ascii="Verdana" w:hAnsi="Verdana"/>
          <w:iCs/>
          <w:sz w:val="22"/>
          <w:szCs w:val="22"/>
        </w:rPr>
        <w:t>.</w:t>
      </w:r>
      <w:r>
        <w:rPr>
          <w:rFonts w:cs="Times New Roman" w:ascii="Verdana" w:hAnsi="Verdana"/>
          <w:iCs/>
          <w:sz w:val="22"/>
          <w:szCs w:val="22"/>
        </w:rPr>
        <w:t xml:space="preserve"> </w:t>
      </w:r>
    </w:p>
    <w:p>
      <w:pPr>
        <w:pStyle w:val="Normal"/>
        <w:jc w:val="both"/>
        <w:rPr/>
      </w:pPr>
      <w:r>
        <w:rPr>
          <w:rFonts w:cs="Times New Roman" w:ascii="Verdana" w:hAnsi="Verdana"/>
          <w:iCs/>
          <w:sz w:val="22"/>
          <w:szCs w:val="22"/>
        </w:rPr>
        <w:t>Un ragionamento analogo possiamo farlo per il genere</w:t>
      </w:r>
      <w:r>
        <w:rPr>
          <w:rFonts w:cs="Times New Roman" w:ascii="Verdana" w:hAnsi="Verdana"/>
          <w:i/>
          <w:iCs/>
          <w:sz w:val="22"/>
          <w:szCs w:val="22"/>
        </w:rPr>
        <w:t xml:space="preserve"> Vitis</w:t>
      </w:r>
      <w:r>
        <w:rPr>
          <w:rFonts w:cs="Times New Roman" w:ascii="Verdana" w:hAnsi="Verdana"/>
          <w:iCs/>
          <w:sz w:val="22"/>
          <w:szCs w:val="22"/>
        </w:rPr>
        <w:t>.</w:t>
      </w:r>
      <w:r>
        <w:rPr>
          <w:rFonts w:cs="Times New Roman" w:ascii="Verdana" w:hAnsi="Verdana"/>
          <w:i/>
          <w:iCs/>
          <w:sz w:val="22"/>
          <w:szCs w:val="22"/>
        </w:rPr>
        <w:t xml:space="preserve"> </w:t>
      </w:r>
      <w:r>
        <w:rPr>
          <w:rFonts w:cs="Times New Roman" w:ascii="Verdana" w:hAnsi="Verdana"/>
          <w:iCs/>
          <w:sz w:val="22"/>
          <w:szCs w:val="22"/>
        </w:rPr>
        <w:t xml:space="preserve">I resti fossili di vite del calco della foglia della </w:t>
      </w:r>
      <w:r>
        <w:rPr>
          <w:rFonts w:cs="Times New Roman" w:ascii="Verdana" w:hAnsi="Verdana"/>
          <w:i/>
          <w:iCs/>
          <w:sz w:val="22"/>
          <w:szCs w:val="22"/>
        </w:rPr>
        <w:t>V.Sezannensis</w:t>
      </w:r>
      <w:r>
        <w:rPr>
          <w:rFonts w:cs="Times New Roman" w:ascii="Verdana" w:hAnsi="Verdana"/>
          <w:iCs/>
          <w:sz w:val="22"/>
          <w:szCs w:val="22"/>
        </w:rPr>
        <w:t xml:space="preserve"> ritrovata nelle marne della Champagne e della </w:t>
      </w:r>
      <w:r>
        <w:rPr>
          <w:rFonts w:cs="Times New Roman" w:ascii="Verdana" w:hAnsi="Verdana"/>
          <w:i/>
          <w:iCs/>
          <w:sz w:val="22"/>
          <w:szCs w:val="22"/>
        </w:rPr>
        <w:t>V.teutonica</w:t>
      </w:r>
      <w:r>
        <w:rPr>
          <w:rFonts w:cs="Times New Roman" w:ascii="Verdana" w:hAnsi="Verdana"/>
          <w:iCs/>
          <w:sz w:val="22"/>
          <w:szCs w:val="22"/>
        </w:rPr>
        <w:t xml:space="preserve"> nelle argille della Slesia, sono ritenuti i più antichi e risalgono alle stratificazioni eoceniche del primo Terziario. Le impronte fogliari di queste vitacee, definite previnifera, sono da ritenere di “transizione” tra il tipo americano e quello europeo-asiatico delle </w:t>
      </w:r>
      <w:r>
        <w:rPr>
          <w:rFonts w:cs="Times New Roman" w:ascii="Verdana" w:hAnsi="Verdana"/>
          <w:i/>
          <w:iCs/>
          <w:sz w:val="22"/>
          <w:szCs w:val="22"/>
        </w:rPr>
        <w:t>V.vinifera.</w:t>
      </w:r>
      <w:r>
        <w:rPr>
          <w:rFonts w:cs="Times New Roman" w:ascii="Verdana" w:hAnsi="Verdana"/>
          <w:iCs/>
          <w:sz w:val="22"/>
          <w:szCs w:val="22"/>
        </w:rPr>
        <w:t xml:space="preserve"> Questo è un indizio importante della continuità genetica all’interno del genere </w:t>
      </w:r>
      <w:r>
        <w:rPr>
          <w:rFonts w:cs="Times New Roman" w:ascii="Verdana" w:hAnsi="Verdana"/>
          <w:i/>
          <w:iCs/>
          <w:sz w:val="22"/>
          <w:szCs w:val="22"/>
        </w:rPr>
        <w:t xml:space="preserve">Vitis </w:t>
      </w:r>
      <w:r>
        <w:rPr>
          <w:rFonts w:cs="Times New Roman" w:ascii="Verdana" w:hAnsi="Verdana"/>
          <w:iCs/>
          <w:sz w:val="22"/>
          <w:szCs w:val="22"/>
        </w:rPr>
        <w:t>nell’Eocene  prima che i due continenti venissero separati dallo stretto di Bering.</w:t>
      </w:r>
    </w:p>
    <w:p>
      <w:pPr>
        <w:pStyle w:val="Normal"/>
        <w:jc w:val="both"/>
        <w:rPr/>
      </w:pPr>
      <w:r>
        <w:rPr>
          <w:rFonts w:cs="Times New Roman" w:ascii="Verdana" w:hAnsi="Verdana"/>
          <w:iCs/>
          <w:sz w:val="22"/>
          <w:szCs w:val="22"/>
        </w:rPr>
        <w:t>Il tema della comune origine delle specie americane e della vite europea è attualmente molto divisivo nella comunità scientifica, che in base alle classificazioni basate su caratteri ampelografici e geografici, differenzia in modo netto le specie, un po’ come si è fatto nel passato con le razze umane. La prova di queste differenze è secondo i difensori della “purezza della vite europea”  nella presenza di due metaboliti nelle bacche, il metil antranilato, responsabile del sapore di fragola e gli antociani di-glucosidi.</w:t>
      </w:r>
      <w:r>
        <w:rPr>
          <w:rFonts w:cs="Times New Roman" w:ascii="Verdana" w:hAnsi="Verdana"/>
          <w:i/>
          <w:iCs/>
          <w:sz w:val="22"/>
          <w:szCs w:val="22"/>
        </w:rPr>
        <w:t xml:space="preserve"> </w:t>
      </w:r>
      <w:r>
        <w:rPr>
          <w:rFonts w:cs="Times New Roman" w:ascii="Verdana" w:hAnsi="Verdana"/>
          <w:iCs/>
          <w:sz w:val="22"/>
          <w:szCs w:val="22"/>
        </w:rPr>
        <w:t xml:space="preserve">Questa ultima caratteristica è portata da un tratto di DNA che per effetto di una doppia mutazione non è più espressa in </w:t>
      </w:r>
      <w:r>
        <w:rPr>
          <w:rFonts w:cs="Times New Roman" w:ascii="Verdana" w:hAnsi="Verdana"/>
          <w:i/>
          <w:iCs/>
          <w:sz w:val="22"/>
          <w:szCs w:val="22"/>
        </w:rPr>
        <w:t>V.vinifera</w:t>
      </w:r>
      <w:r>
        <w:rPr>
          <w:rFonts w:cs="Times New Roman" w:ascii="Verdana" w:hAnsi="Verdana"/>
          <w:iCs/>
          <w:sz w:val="22"/>
          <w:szCs w:val="22"/>
        </w:rPr>
        <w:t xml:space="preserve">, sebbene sia presente nel suo genoma ed è correlata ad un  gene coinvolto nella sintesi dell’aroma caratteristico foxy della </w:t>
      </w:r>
      <w:r>
        <w:rPr>
          <w:rFonts w:cs="Times New Roman" w:ascii="Verdana" w:hAnsi="Verdana"/>
          <w:i/>
          <w:iCs/>
          <w:sz w:val="22"/>
          <w:szCs w:val="22"/>
        </w:rPr>
        <w:t>V.labrusca</w:t>
      </w:r>
      <w:r>
        <w:rPr>
          <w:rFonts w:cs="Times New Roman" w:ascii="Verdana" w:hAnsi="Verdana"/>
          <w:iCs/>
          <w:sz w:val="22"/>
          <w:szCs w:val="22"/>
        </w:rPr>
        <w:t xml:space="preserve">. Questa co-localizzazione fa si che negli ibridi di </w:t>
      </w:r>
      <w:r>
        <w:rPr>
          <w:rFonts w:cs="Times New Roman" w:ascii="Verdana" w:hAnsi="Verdana"/>
          <w:i/>
          <w:iCs/>
          <w:sz w:val="22"/>
          <w:szCs w:val="22"/>
        </w:rPr>
        <w:t>V.labrusca</w:t>
      </w:r>
      <w:r>
        <w:rPr>
          <w:rFonts w:cs="Times New Roman" w:ascii="Verdana" w:hAnsi="Verdana"/>
          <w:iCs/>
          <w:sz w:val="22"/>
          <w:szCs w:val="22"/>
        </w:rPr>
        <w:t xml:space="preserve"> l’aroma di foxy sia trasferito assieme a quelli della sintesi degli antociani di-glucosidi, ma che per gli effetti delle mutazioni o ricombinazioni genetiche avvenute nel corso dell’evoluzione, l’espressione di questi geni sia stata profondamente mutata nella vite europea nel corso delle generazioni e quindi non si esprime più. </w:t>
      </w:r>
    </w:p>
    <w:p>
      <w:pPr>
        <w:pStyle w:val="Normal"/>
        <w:jc w:val="both"/>
        <w:rPr/>
      </w:pPr>
      <w:r>
        <w:rPr>
          <w:rFonts w:cs="Times New Roman" w:ascii="Verdana" w:hAnsi="Verdana"/>
          <w:iCs/>
          <w:sz w:val="22"/>
          <w:szCs w:val="22"/>
        </w:rPr>
        <w:t xml:space="preserve">A conferma  dell’origine comune delle viti americane e quella europea, una recente ricerca sulla filogenesi del genere </w:t>
      </w:r>
      <w:r>
        <w:rPr>
          <w:rFonts w:cs="Times New Roman" w:ascii="Verdana" w:hAnsi="Verdana"/>
          <w:i/>
          <w:iCs/>
          <w:sz w:val="22"/>
          <w:szCs w:val="22"/>
        </w:rPr>
        <w:t>Vitis</w:t>
      </w:r>
      <w:r>
        <w:rPr>
          <w:rFonts w:cs="Times New Roman" w:ascii="Verdana" w:hAnsi="Verdana"/>
          <w:iCs/>
          <w:sz w:val="22"/>
          <w:szCs w:val="22"/>
        </w:rPr>
        <w:t>, basata su sequenze di DNA nucleare e plastidiale,  propone  il centro di origine per il genere nel Nuovo Mondo  e quindi le specie sono  migrate durante il tardo Eocene (circa 40 milioni di anni fa) in Eurasia. Si ipotizza che i ponti terrestri dell'Atlantico settentrionale (la Beringia) siano stati la via più plausibile per</w:t>
      </w:r>
      <w:r>
        <w:rPr>
          <w:rFonts w:cs="Times New Roman" w:ascii="Verdana" w:hAnsi="Verdana"/>
          <w:iCs/>
          <w:sz w:val="22"/>
          <w:szCs w:val="22"/>
        </w:rPr>
        <w:t xml:space="preserve"> </w:t>
      </w:r>
      <w:r>
        <w:rPr>
          <w:rFonts w:cs="Times New Roman" w:ascii="Verdana" w:hAnsi="Verdana"/>
          <w:iCs/>
          <w:sz w:val="22"/>
          <w:szCs w:val="22"/>
        </w:rPr>
        <w:t>la migrazione dal Nuovo Mondo all'Eurasia, capovolgendo così le ipotesi finora formulate che vedevano la diffusione del genere</w:t>
      </w:r>
      <w:r>
        <w:rPr>
          <w:rFonts w:cs="Times New Roman" w:ascii="Verdana" w:hAnsi="Verdana"/>
          <w:i/>
          <w:iCs/>
          <w:sz w:val="22"/>
          <w:szCs w:val="22"/>
        </w:rPr>
        <w:t xml:space="preserve"> Vitis</w:t>
      </w:r>
      <w:r>
        <w:rPr>
          <w:rFonts w:cs="Times New Roman" w:ascii="Verdana" w:hAnsi="Verdana"/>
          <w:iCs/>
          <w:sz w:val="22"/>
          <w:szCs w:val="22"/>
        </w:rPr>
        <w:t xml:space="preserve"> dalla direzione opposta. Le glaciazioni del Quaternario hanno decimato le specie in Europa mantenendo invece un elevato grado di variabilità nel America settentrionale</w:t>
      </w:r>
      <w:r>
        <w:rPr>
          <w:rFonts w:cs="Times New Roman" w:ascii="Verdana" w:hAnsi="Verdana"/>
          <w:iCs/>
          <w:sz w:val="22"/>
          <w:szCs w:val="22"/>
        </w:rPr>
        <w:t>.</w:t>
      </w:r>
      <w:r>
        <w:rPr>
          <w:rFonts w:cs="Times New Roman" w:ascii="Verdana" w:hAnsi="Verdana"/>
          <w:iCs/>
          <w:sz w:val="22"/>
          <w:szCs w:val="22"/>
        </w:rPr>
        <w:t xml:space="preserve"> </w:t>
      </w:r>
      <w:bookmarkStart w:id="0" w:name="_GoBack"/>
      <w:bookmarkEnd w:id="0"/>
      <w:r>
        <w:rPr>
          <w:rFonts w:cs="Times New Roman" w:ascii="Verdana" w:hAnsi="Verdana"/>
          <w:iCs/>
          <w:sz w:val="22"/>
          <w:szCs w:val="22"/>
        </w:rPr>
        <w:t>Gli sviluppi di queste ricerche porteranno in un futuro non lontano alla conclusione che non ci sono viti di serie A, i vitigni europei  e viti di serie B, le specie americane e quindi si potranno usare finalmente  i nuovi  vitigni resistenti anche per i vini a DOC.</w:t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972de0"/>
    <w:rPr>
      <w:color w:val="0000FF" w:themeColor="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LibreOffice/6.2.5.2$Windows_X86_64 LibreOffice_project/1ec314fa52f458adc18c4f025c545a4e8b22c159</Application>
  <Pages>2</Pages>
  <Words>718</Words>
  <Characters>4023</Characters>
  <CharactersWithSpaces>4759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2021-05-16T16:29:00Z</dcterms:created>
  <dc:creator>Attilio</dc:creator>
  <dc:description/>
  <dc:language>it-IT</dc:language>
  <cp:lastModifiedBy/>
  <cp:lastPrinted>2021-11-25T09:04:47Z</cp:lastPrinted>
  <dcterms:modified xsi:type="dcterms:W3CDTF">2021-11-30T09:33:05Z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