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C44E2" w14:textId="77777777" w:rsidR="00F37ECB" w:rsidRDefault="00F37EC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  <w:u w:val="single"/>
        </w:rPr>
      </w:pPr>
    </w:p>
    <w:p w14:paraId="04EB65CD" w14:textId="77777777" w:rsidR="00F37ECB" w:rsidRDefault="00F37EC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  <w:u w:val="single"/>
        </w:rPr>
      </w:pPr>
    </w:p>
    <w:p w14:paraId="55AD18D4" w14:textId="148EF23E" w:rsidR="00F37ECB" w:rsidRDefault="00E73A1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u w:val="single"/>
        </w:rPr>
      </w:pPr>
      <w:r w:rsidRPr="009047B5">
        <w:rPr>
          <w:color w:val="000000"/>
          <w:u w:val="single"/>
        </w:rPr>
        <w:t>COMUNICATO STAMPA</w:t>
      </w:r>
    </w:p>
    <w:p w14:paraId="4AEFF988" w14:textId="7344BB68" w:rsidR="009047B5" w:rsidRDefault="009047B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u w:val="single"/>
        </w:rPr>
      </w:pPr>
    </w:p>
    <w:p w14:paraId="661F16C9" w14:textId="77777777" w:rsidR="009047B5" w:rsidRDefault="009047B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b/>
          <w:color w:val="000000"/>
          <w:sz w:val="24"/>
        </w:rPr>
      </w:pPr>
    </w:p>
    <w:p w14:paraId="2ED67F4A" w14:textId="05B75AB2" w:rsidR="009047B5" w:rsidRPr="009047B5" w:rsidRDefault="009047B5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b/>
          <w:color w:val="000000"/>
          <w:sz w:val="28"/>
        </w:rPr>
      </w:pPr>
      <w:proofErr w:type="spellStart"/>
      <w:r w:rsidRPr="009047B5">
        <w:rPr>
          <w:b/>
          <w:color w:val="000000"/>
          <w:sz w:val="28"/>
        </w:rPr>
        <w:t>AlpLinkBioEco</w:t>
      </w:r>
      <w:proofErr w:type="spellEnd"/>
      <w:r w:rsidRPr="009047B5">
        <w:rPr>
          <w:b/>
          <w:color w:val="000000"/>
          <w:sz w:val="28"/>
        </w:rPr>
        <w:t xml:space="preserve">, come potenziare filiere innovative nella </w:t>
      </w:r>
      <w:proofErr w:type="spellStart"/>
      <w:r w:rsidRPr="009047B5">
        <w:rPr>
          <w:b/>
          <w:color w:val="000000"/>
          <w:sz w:val="28"/>
        </w:rPr>
        <w:t>bioeconomia</w:t>
      </w:r>
      <w:proofErr w:type="spellEnd"/>
      <w:r w:rsidRPr="009047B5">
        <w:rPr>
          <w:b/>
          <w:color w:val="000000"/>
          <w:sz w:val="28"/>
        </w:rPr>
        <w:t xml:space="preserve"> circolare</w:t>
      </w:r>
    </w:p>
    <w:p w14:paraId="69DB7B4A" w14:textId="31077244" w:rsidR="009047B5" w:rsidRPr="009047B5" w:rsidRDefault="009047B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 w:rsidRPr="009047B5">
        <w:rPr>
          <w:color w:val="000000"/>
          <w:sz w:val="24"/>
          <w:szCs w:val="24"/>
        </w:rPr>
        <w:t xml:space="preserve">Strumenti e policy sviluppate nell’ambito del progetto </w:t>
      </w:r>
      <w:proofErr w:type="spellStart"/>
      <w:r w:rsidRPr="009047B5">
        <w:rPr>
          <w:color w:val="000000"/>
          <w:sz w:val="24"/>
          <w:szCs w:val="24"/>
        </w:rPr>
        <w:t>Interreg</w:t>
      </w:r>
      <w:proofErr w:type="spellEnd"/>
      <w:r w:rsidRPr="009047B5">
        <w:rPr>
          <w:color w:val="000000"/>
          <w:sz w:val="24"/>
          <w:szCs w:val="24"/>
        </w:rPr>
        <w:t xml:space="preserve"> – Spazio Alpino</w:t>
      </w:r>
    </w:p>
    <w:p w14:paraId="6C9E4F0F" w14:textId="77777777" w:rsidR="00F37ECB" w:rsidRPr="009047B5" w:rsidRDefault="00F37EC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u w:val="single"/>
        </w:rPr>
      </w:pPr>
    </w:p>
    <w:p w14:paraId="104BEEAF" w14:textId="49D6E7C2" w:rsidR="00F37ECB" w:rsidRPr="009047B5" w:rsidRDefault="009047B5" w:rsidP="009047B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b/>
          <w:color w:val="000000"/>
        </w:rPr>
      </w:pPr>
      <w:r w:rsidRPr="009047B5">
        <w:rPr>
          <w:b/>
          <w:color w:val="000000"/>
        </w:rPr>
        <w:t xml:space="preserve">Si è chiuso a fine marzo, con una conferenza online, il progetto </w:t>
      </w:r>
      <w:proofErr w:type="spellStart"/>
      <w:r w:rsidRPr="009047B5">
        <w:rPr>
          <w:b/>
          <w:color w:val="000000"/>
        </w:rPr>
        <w:t>Interreg</w:t>
      </w:r>
      <w:proofErr w:type="spellEnd"/>
      <w:r w:rsidRPr="009047B5">
        <w:rPr>
          <w:b/>
          <w:color w:val="000000"/>
        </w:rPr>
        <w:t xml:space="preserve"> europeo </w:t>
      </w:r>
      <w:proofErr w:type="spellStart"/>
      <w:r w:rsidRPr="009047B5">
        <w:rPr>
          <w:b/>
          <w:color w:val="000000"/>
        </w:rPr>
        <w:t>AlpLinkBioEco</w:t>
      </w:r>
      <w:proofErr w:type="spellEnd"/>
      <w:r w:rsidRPr="009047B5">
        <w:rPr>
          <w:b/>
          <w:color w:val="000000"/>
        </w:rPr>
        <w:t xml:space="preserve">, progetto nato tre anni fa nell’ambito della Strategia </w:t>
      </w:r>
      <w:proofErr w:type="spellStart"/>
      <w:r w:rsidRPr="009047B5">
        <w:rPr>
          <w:b/>
          <w:color w:val="000000"/>
        </w:rPr>
        <w:t>macroregionale</w:t>
      </w:r>
      <w:proofErr w:type="spellEnd"/>
      <w:r w:rsidRPr="009047B5">
        <w:rPr>
          <w:b/>
          <w:color w:val="000000"/>
        </w:rPr>
        <w:t xml:space="preserve"> Alpina EUSALP con l’obiettivo di sviluppare proposte interregionali per il potenziamento delle filiere innovative operanti nel settore della </w:t>
      </w:r>
      <w:proofErr w:type="spellStart"/>
      <w:r w:rsidRPr="009047B5">
        <w:rPr>
          <w:b/>
          <w:color w:val="000000"/>
        </w:rPr>
        <w:t>bioeconomia</w:t>
      </w:r>
      <w:proofErr w:type="spellEnd"/>
      <w:r w:rsidRPr="009047B5">
        <w:rPr>
          <w:b/>
          <w:color w:val="000000"/>
        </w:rPr>
        <w:t xml:space="preserve"> circolare. </w:t>
      </w:r>
      <w:proofErr w:type="spellStart"/>
      <w:r w:rsidRPr="009047B5">
        <w:rPr>
          <w:b/>
          <w:color w:val="000000"/>
        </w:rPr>
        <w:t>AlpLinkBioEco</w:t>
      </w:r>
      <w:proofErr w:type="spellEnd"/>
      <w:r w:rsidRPr="009047B5">
        <w:rPr>
          <w:b/>
          <w:color w:val="000000"/>
        </w:rPr>
        <w:t xml:space="preserve">, di cui </w:t>
      </w:r>
      <w:proofErr w:type="spellStart"/>
      <w:r w:rsidRPr="009047B5">
        <w:rPr>
          <w:b/>
          <w:color w:val="000000"/>
        </w:rPr>
        <w:t>Fraunhofer</w:t>
      </w:r>
      <w:proofErr w:type="spellEnd"/>
      <w:r w:rsidRPr="009047B5">
        <w:rPr>
          <w:b/>
          <w:color w:val="000000"/>
        </w:rPr>
        <w:t xml:space="preserve"> Italia, HIT - </w:t>
      </w:r>
      <w:proofErr w:type="spellStart"/>
      <w:r w:rsidRPr="009047B5">
        <w:rPr>
          <w:b/>
          <w:color w:val="000000"/>
        </w:rPr>
        <w:t>Hub</w:t>
      </w:r>
      <w:proofErr w:type="spellEnd"/>
      <w:r w:rsidRPr="009047B5">
        <w:rPr>
          <w:b/>
          <w:color w:val="000000"/>
        </w:rPr>
        <w:t xml:space="preserve"> Innovazione Trentino e CSALP – Centro Studi Alpino sono partner, nell’arco dei tre anni ha lavorato sui temi della </w:t>
      </w:r>
      <w:proofErr w:type="spellStart"/>
      <w:r w:rsidRPr="009047B5">
        <w:rPr>
          <w:b/>
          <w:color w:val="000000"/>
        </w:rPr>
        <w:t>bioeconomia</w:t>
      </w:r>
      <w:proofErr w:type="spellEnd"/>
      <w:r w:rsidRPr="009047B5">
        <w:rPr>
          <w:b/>
          <w:color w:val="000000"/>
        </w:rPr>
        <w:t xml:space="preserve"> e dell’economia circolare, considerati motore per la competitività, portatori di valore aggiunto per le imprese e tasselli fondamentali per raggiungere gli obiettivi del Green Deal europeo e gli Obiettivi di Sviluppo Sostenibile delle Nazioni Unite. Per sostenere la transizione da un'economia basata sui combustibili fossili a un’economia </w:t>
      </w:r>
      <w:proofErr w:type="spellStart"/>
      <w:r w:rsidRPr="009047B5">
        <w:rPr>
          <w:b/>
          <w:color w:val="000000"/>
        </w:rPr>
        <w:t>biobased</w:t>
      </w:r>
      <w:proofErr w:type="spellEnd"/>
      <w:r w:rsidRPr="009047B5">
        <w:rPr>
          <w:b/>
          <w:color w:val="000000"/>
        </w:rPr>
        <w:t xml:space="preserve">, durante il progetto è stato sviluppato un database interattivo, il </w:t>
      </w:r>
      <w:hyperlink r:id="rId7" w:history="1">
        <w:r w:rsidRPr="00A57621">
          <w:rPr>
            <w:rStyle w:val="Hyperlink"/>
            <w:b/>
          </w:rPr>
          <w:t>Value Chain Generator</w:t>
        </w:r>
      </w:hyperlink>
      <w:r w:rsidRPr="009047B5">
        <w:rPr>
          <w:b/>
          <w:color w:val="000000"/>
        </w:rPr>
        <w:t xml:space="preserve">, mappando decine di associazioni settoriali e centinaia di aziende e successivamente sviluppando nuove catene del valore e occasioni di simbiosi industriale a livello locale, nazionale e transnazionale. Inoltre, grazie alla raccolta di input da </w:t>
      </w:r>
      <w:proofErr w:type="spellStart"/>
      <w:r w:rsidRPr="009047B5">
        <w:rPr>
          <w:b/>
          <w:color w:val="000000"/>
        </w:rPr>
        <w:t>stakeholders</w:t>
      </w:r>
      <w:proofErr w:type="spellEnd"/>
      <w:r w:rsidRPr="009047B5">
        <w:rPr>
          <w:b/>
          <w:color w:val="000000"/>
        </w:rPr>
        <w:t xml:space="preserve"> politici e industriali delle regioni europee coinvolte, è stato definito un piano di azione condiviso (</w:t>
      </w:r>
      <w:proofErr w:type="spellStart"/>
      <w:r w:rsidR="00A57621">
        <w:rPr>
          <w:b/>
          <w:color w:val="000000"/>
        </w:rPr>
        <w:fldChar w:fldCharType="begin"/>
      </w:r>
      <w:r w:rsidR="00A57621">
        <w:rPr>
          <w:b/>
          <w:color w:val="000000"/>
        </w:rPr>
        <w:instrText xml:space="preserve"> HYPERLINK "https://www.alpine-space.eu/projects/alplinkbioeco/en/project-results/joint-masterplan-on-circular-bioeconomy" </w:instrText>
      </w:r>
      <w:r w:rsidR="00A57621">
        <w:rPr>
          <w:b/>
          <w:color w:val="000000"/>
        </w:rPr>
      </w:r>
      <w:r w:rsidR="00A57621">
        <w:rPr>
          <w:b/>
          <w:color w:val="000000"/>
        </w:rPr>
        <w:fldChar w:fldCharType="separate"/>
      </w:r>
      <w:r w:rsidRPr="00A57621">
        <w:rPr>
          <w:rStyle w:val="Hyperlink"/>
          <w:b/>
        </w:rPr>
        <w:t>Masterplan</w:t>
      </w:r>
      <w:proofErr w:type="spellEnd"/>
      <w:r w:rsidR="00A57621">
        <w:rPr>
          <w:b/>
          <w:color w:val="000000"/>
        </w:rPr>
        <w:fldChar w:fldCharType="end"/>
      </w:r>
      <w:r w:rsidRPr="009047B5">
        <w:rPr>
          <w:b/>
          <w:color w:val="000000"/>
        </w:rPr>
        <w:t xml:space="preserve">) per stimolare lo sviluppo della </w:t>
      </w:r>
      <w:proofErr w:type="spellStart"/>
      <w:r w:rsidRPr="009047B5">
        <w:rPr>
          <w:b/>
          <w:color w:val="000000"/>
        </w:rPr>
        <w:t>bioeconomia</w:t>
      </w:r>
      <w:proofErr w:type="spellEnd"/>
      <w:r w:rsidRPr="009047B5">
        <w:rPr>
          <w:b/>
          <w:color w:val="000000"/>
        </w:rPr>
        <w:t xml:space="preserve"> nello Spazio Alpino.</w:t>
      </w:r>
    </w:p>
    <w:p w14:paraId="4750C802" w14:textId="77777777" w:rsidR="009047B5" w:rsidRPr="009047B5" w:rsidRDefault="009047B5" w:rsidP="009047B5">
      <w:pPr>
        <w:spacing w:before="100" w:beforeAutospacing="1" w:after="100" w:afterAutospacing="1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en-US"/>
        </w:rPr>
      </w:pPr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«Per noi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AlpLinkBioEco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 è stata l’occasione di collaborare con realtà molto attive nel campo della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bioeconomia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 circolare e ci ha permesso di approfondire aspetti tecnologici, culturali e politico-economici delle potenzialità delle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value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chain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 intersettoriali e internazionali» dichiara </w:t>
      </w:r>
      <w:r w:rsidRPr="009047B5">
        <w:rPr>
          <w:rFonts w:asciiTheme="majorHAnsi" w:eastAsia="Times New Roman" w:hAnsiTheme="majorHAnsi" w:cstheme="majorHAnsi"/>
          <w:b/>
          <w:bCs/>
          <w:position w:val="0"/>
          <w:lang w:eastAsia="en-US"/>
        </w:rPr>
        <w:t>Pasqualina Sacco</w:t>
      </w:r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, responsabile del team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Bioeconomia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&amp; Sostenibilità e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project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 manager del progetto lato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Fraunhofer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 Italia, e prosegue «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Fraunhofer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 Italia continuerà a diffondere i risultati principali del progetto, mettendoli a disposizione del territorio altoatesino».</w:t>
      </w:r>
    </w:p>
    <w:p w14:paraId="0115CF8B" w14:textId="77777777" w:rsidR="009047B5" w:rsidRPr="009047B5" w:rsidRDefault="009047B5" w:rsidP="009047B5">
      <w:pPr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en-US"/>
        </w:rPr>
      </w:pPr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«Il progetto ci ha permesso di approfondire le potenzialità e le sfide legate alla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bioeconomia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 e all'economia circolare» – dichiara </w:t>
      </w:r>
      <w:r w:rsidRPr="009047B5">
        <w:rPr>
          <w:rFonts w:asciiTheme="majorHAnsi" w:eastAsia="Times New Roman" w:hAnsiTheme="majorHAnsi" w:cstheme="majorHAnsi"/>
          <w:b/>
          <w:bCs/>
          <w:position w:val="0"/>
          <w:lang w:eastAsia="en-US"/>
        </w:rPr>
        <w:t xml:space="preserve">Elisa </w:t>
      </w:r>
      <w:proofErr w:type="spellStart"/>
      <w:r w:rsidRPr="009047B5">
        <w:rPr>
          <w:rFonts w:asciiTheme="majorHAnsi" w:eastAsia="Times New Roman" w:hAnsiTheme="majorHAnsi" w:cstheme="majorHAnsi"/>
          <w:b/>
          <w:bCs/>
          <w:position w:val="0"/>
          <w:lang w:eastAsia="en-US"/>
        </w:rPr>
        <w:t>Morganti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,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Innovation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 Project Manager della Fondazione HIT -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Hub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 Innovazione Trentino – «in termini, ad esempio, di ricerca, opportunità di trasferimento tecnologico, nuovi modelli di business, uso sostenibile delle risorse naturali. Il Value Chain Generator è uno strumento digitale pensato per le imprese e gli enti territoriali che consentirà di supportare anche in Trentino la trasformazione circolare, sfruttando al meglio le materie prime di origine naturale e creando nuovo valore dagli scarti di produzione e di processo». </w:t>
      </w:r>
    </w:p>
    <w:p w14:paraId="3CC7C0AB" w14:textId="77777777" w:rsidR="009047B5" w:rsidRPr="009047B5" w:rsidRDefault="009047B5" w:rsidP="009047B5">
      <w:pPr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en-US"/>
        </w:rPr>
      </w:pPr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«Per il Centro di Studi Alpino c’è stata l’opportunità di ricostruire la filiera soprattutto forestale in chiave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bioeconomica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, evidenziando la possibilità di utilizzare delle lavorazioni forestali e dell’industria del legno per filiere ad elevato valore aggiunto, come ad esempio coloranti naturali, molecole bioattive e  trasformazioni in termini di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bioraffineria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» – dichiara la Prof. </w:t>
      </w:r>
      <w:r w:rsidRPr="009047B5">
        <w:rPr>
          <w:rFonts w:asciiTheme="majorHAnsi" w:eastAsia="Times New Roman" w:hAnsiTheme="majorHAnsi" w:cstheme="majorHAnsi"/>
          <w:b/>
          <w:bCs/>
          <w:position w:val="0"/>
          <w:lang w:eastAsia="en-US"/>
        </w:rPr>
        <w:t>Manuela Romagnoli</w:t>
      </w:r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 del Dipartimento per l'Innovazione dei Sistemi Biologici Agroalimentari e Forestali (DIBAF) e conclude  – «Anche per CSALP le attività proseguiranno considerando la possibilità di lavorare sull’attivazione di nuove sinergie tra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stakeholders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 politici, dell’industria e del territorio».</w:t>
      </w:r>
    </w:p>
    <w:p w14:paraId="56372A4D" w14:textId="77777777" w:rsidR="009047B5" w:rsidRPr="009047B5" w:rsidRDefault="009047B5" w:rsidP="009047B5">
      <w:pPr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en-US"/>
        </w:rPr>
      </w:pP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lastRenderedPageBreak/>
        <w:t>AlpLinkBioEco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 ha messo sotto la propria lente due casi studio particolarmente innovativi che vedono il re-impiego di prodotti in ottica di economia circolare da parte di due aziende del Trentino-Alto Adige.</w:t>
      </w:r>
    </w:p>
    <w:p w14:paraId="1D5EAA89" w14:textId="77777777" w:rsidR="009047B5" w:rsidRPr="009047B5" w:rsidRDefault="009047B5" w:rsidP="009047B5">
      <w:pPr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en-US"/>
        </w:rPr>
      </w:pPr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Il primo </w:t>
      </w:r>
      <w:r w:rsidRPr="009047B5">
        <w:rPr>
          <w:rFonts w:asciiTheme="majorHAnsi" w:eastAsia="Times New Roman" w:hAnsiTheme="majorHAnsi" w:cstheme="majorHAnsi"/>
          <w:b/>
          <w:bCs/>
          <w:position w:val="0"/>
          <w:lang w:eastAsia="en-US"/>
        </w:rPr>
        <w:t>caso studio</w:t>
      </w:r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 riguarda il „</w:t>
      </w:r>
      <w:proofErr w:type="spellStart"/>
      <w:proofErr w:type="gram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biolink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“ trentino</w:t>
      </w:r>
      <w:proofErr w:type="gram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 tra distilleria e produzione di cosmetici: “</w:t>
      </w:r>
      <w:r w:rsidRPr="009047B5">
        <w:rPr>
          <w:rFonts w:asciiTheme="majorHAnsi" w:eastAsia="Times New Roman" w:hAnsiTheme="majorHAnsi" w:cstheme="majorHAnsi"/>
          <w:b/>
          <w:bCs/>
          <w:position w:val="0"/>
          <w:lang w:eastAsia="en-US"/>
        </w:rPr>
        <w:t>Antiossidanti da derivati del vino per prodotti cosmetici</w:t>
      </w:r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“, trattato da Elisa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Morganti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 e Silvio Antonioni,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innovation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project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 manager di HIT. Le distillerie e i vinificatori producono tonnellate di vinaccia che di solito viene smaltita come rifiuto, bruciata come biomassa o usata come fertilizzante. Tuttavia le vinacce e i semi d'uva sono ricchi di polifenoli e antiossidanti: una base preziosa per prodotti cosmetici anti-età. Il marchio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Ampeliè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, di proprietà dell'</w:t>
      </w:r>
      <w:r w:rsidRPr="009047B5">
        <w:rPr>
          <w:rFonts w:asciiTheme="majorHAnsi" w:eastAsia="Times New Roman" w:hAnsiTheme="majorHAnsi" w:cstheme="majorHAnsi"/>
          <w:b/>
          <w:bCs/>
          <w:position w:val="0"/>
          <w:lang w:eastAsia="en-US"/>
        </w:rPr>
        <w:t xml:space="preserve">Azienda Agricola Fratelli </w:t>
      </w:r>
      <w:proofErr w:type="spellStart"/>
      <w:r w:rsidRPr="009047B5">
        <w:rPr>
          <w:rFonts w:asciiTheme="majorHAnsi" w:eastAsia="Times New Roman" w:hAnsiTheme="majorHAnsi" w:cstheme="majorHAnsi"/>
          <w:b/>
          <w:bCs/>
          <w:position w:val="0"/>
          <w:lang w:eastAsia="en-US"/>
        </w:rPr>
        <w:t>Pisoni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, leader nella produzione biodinamica di vini e grappe, produce e vende cosmetici a base naturale partendo dai residui di cantina e da altri componenti organici. Gli ingredienti finali dei prodotti cosmetici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Ampeliè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 derivano dalla vigna, dal vino rosso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Pisoni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 e dall'olio d'oliva di produzione locale. La miscelazione e la preparazione del prodotto avviene tramite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Areaderma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 di Pergine Valsugana, un laboratorio esterno specializzato nella produzione conto terzi di cosmetici e dispositivi medici. La scelta della materia prima organica per la produzione di cosmetici è risultata sicura e di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altà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 qualità ai test della Fondazione Edmund Mach, pur avendo un forte impatto sulle logiche e sui costi di produzione. L'uso di materiali a base biologica organica può essere economicamente interessante a condizione che il materiale di partenza possa essere ottenuto a basso costo (incluso il trasporto) e se i fornitori dei trattamenti tecnologici, miscelazione e confezionamento sono in loco. Il punto di forza di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Ampeliè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 è proprio che tutto viene fatto in loco, con materie prime e residui prodotti dalla stessa azienda che vende i prodotti cosmetici finali.</w:t>
      </w:r>
    </w:p>
    <w:p w14:paraId="53C10616" w14:textId="77777777" w:rsidR="009047B5" w:rsidRPr="009047B5" w:rsidRDefault="009047B5" w:rsidP="009047B5">
      <w:pPr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en-US"/>
        </w:rPr>
      </w:pPr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Anche il </w:t>
      </w:r>
      <w:r w:rsidRPr="009047B5">
        <w:rPr>
          <w:rFonts w:asciiTheme="majorHAnsi" w:eastAsia="Times New Roman" w:hAnsiTheme="majorHAnsi" w:cstheme="majorHAnsi"/>
          <w:b/>
          <w:bCs/>
          <w:position w:val="0"/>
          <w:lang w:eastAsia="en-US"/>
        </w:rPr>
        <w:t>caso studio</w:t>
      </w:r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 "</w:t>
      </w:r>
      <w:r w:rsidRPr="009047B5">
        <w:rPr>
          <w:rFonts w:asciiTheme="majorHAnsi" w:eastAsia="Times New Roman" w:hAnsiTheme="majorHAnsi" w:cstheme="majorHAnsi"/>
          <w:b/>
          <w:bCs/>
          <w:position w:val="0"/>
          <w:lang w:eastAsia="en-US"/>
        </w:rPr>
        <w:t>Tessuti di canapa</w:t>
      </w:r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", analizzato da Pasqualina Sacco, ricercatrice del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Fraunhofer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Research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 Center di Bolzano è particolarmente interessante. Il caso si riferisce all’idea della nota azienda altoatesina </w:t>
      </w:r>
      <w:r w:rsidRPr="009047B5">
        <w:rPr>
          <w:rFonts w:asciiTheme="majorHAnsi" w:eastAsia="Times New Roman" w:hAnsiTheme="majorHAnsi" w:cstheme="majorHAnsi"/>
          <w:b/>
          <w:bCs/>
          <w:position w:val="0"/>
          <w:lang w:eastAsia="en-US"/>
        </w:rPr>
        <w:t>Salewa</w:t>
      </w:r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 di utilizzare canapa locale, un materiale dalla lunga tradizione nelle Alpi, per produrre vestiti, puntando a un‘economia locale sostenibile e con l’obiettivo di ridurre rifiuti e usare risorse naturali. Per la collezione “Alpine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Hemp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”, Salewa utilizza complesse tecniche di maglieria e tessitura per fondere la canapa con altre fibre come il poliestere riciclato, il cotone organico e l'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elastan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 per ottenere una maggiore funzionalità ibrida. Considerato che i consumatori sono sempre più informati e consapevoli del loro impatto ambientale e sociale, la canapa, al contrario di altri tipi di fibre, ha certamente tutte le risposte di comfort in termini di prestazioni del tessuto e di sostenibilità in termini di impatto ambientale. L’azienda ha deciso di investire il 10% del profitto di questi vestiti in coltivazioni di canapa locali e produzione di prodotti sostenibili a base di canapa. Dal punto di vista economico, l'uso di questo materiale per i tessuti realizzati a km0 garantirà un ulteriore valore all'industria tessile locale. A conclusione di questo caso studio è stata evidenziata la possibilità e opportunità di creare una rete che unisca tutte le parti interessate a tale produzione, anche a livello cross regionale, per condividere un percorso comune e creare insieme nuove sinergie.</w:t>
      </w:r>
    </w:p>
    <w:p w14:paraId="2F135C4D" w14:textId="77777777" w:rsidR="009047B5" w:rsidRPr="009047B5" w:rsidRDefault="009047B5" w:rsidP="009047B5">
      <w:pPr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en-US"/>
        </w:rPr>
      </w:pPr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I casi „Antiossidanti da derivati del vino per prodotti cosmetici” e „Tessuti di canapa“ sono esempi di aziende del territorio vicine al tema della sostenibilità che si collocano al centro dei processi di economia circolare e che sono aperte a lavorare in modo sinergico unendosi ad altre aziende, spostando l’attenzione dal "perché dovremmo sostenere la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bioeconomia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 e la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bioeconomizzazione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 dell'industria" a "come questa transizione può essere fatta nel modo più efficiente e sinergico con le filiere del territorio".</w:t>
      </w:r>
    </w:p>
    <w:p w14:paraId="14C8B571" w14:textId="77777777" w:rsidR="009047B5" w:rsidRPr="009047B5" w:rsidRDefault="009047B5" w:rsidP="009047B5">
      <w:pPr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en-US"/>
        </w:rPr>
      </w:pPr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Uno dei </w:t>
      </w:r>
      <w:r w:rsidRPr="009047B5">
        <w:rPr>
          <w:rFonts w:asciiTheme="majorHAnsi" w:eastAsia="Times New Roman" w:hAnsiTheme="majorHAnsi" w:cstheme="majorHAnsi"/>
          <w:b/>
          <w:bCs/>
          <w:position w:val="0"/>
          <w:lang w:eastAsia="en-US"/>
        </w:rPr>
        <w:t>casi studio</w:t>
      </w:r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 al quale hanno contribuito il Centro Studi Alpino Pieve Tesino,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Hub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 Innovazione Trentino e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Fraunhofer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 Italia, e nel quale sono state coinvolti anche il Ministero delle politiche agricole e forestali, la Provincia Autonoma di Trento, Camera di Commercio di Trento e Confindustria Trento, è quello </w:t>
      </w:r>
      <w:proofErr w:type="gram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denominato ”</w:t>
      </w:r>
      <w:proofErr w:type="spellStart"/>
      <w:r w:rsidRPr="009047B5">
        <w:rPr>
          <w:rFonts w:asciiTheme="majorHAnsi" w:eastAsia="Times New Roman" w:hAnsiTheme="majorHAnsi" w:cstheme="majorHAnsi"/>
          <w:b/>
          <w:bCs/>
          <w:position w:val="0"/>
          <w:lang w:eastAsia="en-US"/>
        </w:rPr>
        <w:t>Bioraffineria</w:t>
      </w:r>
      <w:proofErr w:type="spellEnd"/>
      <w:proofErr w:type="gramEnd"/>
      <w:r w:rsidRPr="009047B5">
        <w:rPr>
          <w:rFonts w:asciiTheme="majorHAnsi" w:eastAsia="Times New Roman" w:hAnsiTheme="majorHAnsi" w:cstheme="majorHAnsi"/>
          <w:b/>
          <w:bCs/>
          <w:position w:val="0"/>
          <w:lang w:eastAsia="en-US"/>
        </w:rPr>
        <w:t xml:space="preserve"> a base di legno: segatura e trucioli di legno come base per intermedi chimici</w:t>
      </w:r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”. Il tema è quello del riutilizzo dei principali componenti della biomassa legnosa, ovvero trucioli di legno e segatura. Lo studio ha messo in contatto gli stakeholder del settore forestale e le industrie locali italiane con </w:t>
      </w:r>
      <w:r w:rsidRPr="009047B5">
        <w:rPr>
          <w:rFonts w:asciiTheme="majorHAnsi" w:eastAsia="Times New Roman" w:hAnsiTheme="majorHAnsi" w:cstheme="majorHAnsi"/>
          <w:b/>
          <w:bCs/>
          <w:position w:val="0"/>
          <w:lang w:eastAsia="en-US"/>
        </w:rPr>
        <w:t>LXP Group</w:t>
      </w:r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, azienda tedesca che ha sviluppato una tecnologia innovativa per la separazione di lignina e cellulosa di alta purezza dalla biomassa lignocellulosica di seconda generazione. Nello studio della fattibilità tecnica, economica e </w:t>
      </w:r>
      <w:r w:rsidRPr="009047B5">
        <w:rPr>
          <w:rFonts w:asciiTheme="majorHAnsi" w:eastAsia="Times New Roman" w:hAnsiTheme="majorHAnsi" w:cstheme="majorHAnsi"/>
          <w:position w:val="0"/>
          <w:lang w:eastAsia="en-US"/>
        </w:rPr>
        <w:lastRenderedPageBreak/>
        <w:t xml:space="preserve">ambientale, è emerso che il principale punto di forza, oltre alla grande disponibilità di materie prime, è l'alta versatilità dell'impianto: in altre parole, è possibile cambiare abbastanza frequentemente la materia prima da lavorare, passando dai residui forestali ai rifiuti agricoli. Grazie a ciò, le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bioraffinerie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 lignocellulosiche potrebbero creare ulteriori opportunità di lavoro, specialmente nelle aree rurali.</w:t>
      </w:r>
    </w:p>
    <w:p w14:paraId="72E55DC1" w14:textId="77777777" w:rsidR="009047B5" w:rsidRPr="009047B5" w:rsidRDefault="009047B5" w:rsidP="009047B5">
      <w:pPr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en-US"/>
        </w:rPr>
      </w:pPr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Il progetto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AlpLinkBioEco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 ha visto la partecipazione di </w:t>
      </w:r>
      <w:r w:rsidRPr="009047B5">
        <w:rPr>
          <w:rFonts w:asciiTheme="majorHAnsi" w:eastAsia="Times New Roman" w:hAnsiTheme="majorHAnsi" w:cstheme="majorHAnsi"/>
          <w:b/>
          <w:bCs/>
          <w:position w:val="0"/>
          <w:lang w:eastAsia="en-US"/>
        </w:rPr>
        <w:t>6 Stati dell’arco alpino</w:t>
      </w:r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 (Italia, Francia, Germania, Austria, Svizzera e Slovenia) e </w:t>
      </w:r>
      <w:r w:rsidRPr="009047B5">
        <w:rPr>
          <w:rFonts w:asciiTheme="majorHAnsi" w:eastAsia="Times New Roman" w:hAnsiTheme="majorHAnsi" w:cstheme="majorHAnsi"/>
          <w:b/>
          <w:bCs/>
          <w:position w:val="0"/>
          <w:lang w:eastAsia="en-US"/>
        </w:rPr>
        <w:t>9 Regioni</w:t>
      </w:r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, di cui 3 facenti parte dei 4 Motori d’Europa (Lombardia, Baden-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Württemberg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 e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Auvergne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Rhône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-Alpes). </w:t>
      </w:r>
      <w:r w:rsidRPr="009047B5">
        <w:rPr>
          <w:rFonts w:asciiTheme="majorHAnsi" w:eastAsia="Times New Roman" w:hAnsiTheme="majorHAnsi" w:cstheme="majorHAnsi"/>
          <w:b/>
          <w:bCs/>
          <w:position w:val="0"/>
          <w:lang w:eastAsia="en-US"/>
        </w:rPr>
        <w:t>14 i partner che hanno lavorato al progetto</w:t>
      </w:r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: AT: Business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Upper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 Austria; CH: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Plastics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Innovation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Competence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 Center (Project Lead); DE: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Biopro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 BW,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Technologiezentrum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Horb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; IT: Pieve Tesino Alpine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Studies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 Center, Confindustria Lombardia,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Innovation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Hub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 Trentino,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Lombardy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 Green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Chemistry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 Cluster,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Fraunhofer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 Italia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Research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; FR: France Clusters,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Plastipolis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; SVN: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Slovenian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Ministry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 xml:space="preserve"> of 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Education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, Science and Sport, Poly4EMI.</w:t>
      </w:r>
    </w:p>
    <w:p w14:paraId="644AADAC" w14:textId="05B2B052" w:rsidR="009047B5" w:rsidRPr="009047B5" w:rsidRDefault="009047B5" w:rsidP="009047B5">
      <w:pPr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en-US"/>
        </w:rPr>
      </w:pPr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Accedi al </w:t>
      </w:r>
      <w:hyperlink r:id="rId8" w:history="1">
        <w:r w:rsidRPr="009047B5">
          <w:rPr>
            <w:rFonts w:asciiTheme="majorHAnsi" w:eastAsia="Times New Roman" w:hAnsiTheme="majorHAnsi" w:cstheme="majorHAnsi"/>
            <w:color w:val="0000FF"/>
            <w:position w:val="0"/>
            <w:u w:val="single"/>
            <w:lang w:eastAsia="en-US"/>
          </w:rPr>
          <w:t>Value Chain Generator</w:t>
        </w:r>
      </w:hyperlink>
      <w:bookmarkStart w:id="0" w:name="_GoBack"/>
      <w:bookmarkEnd w:id="0"/>
    </w:p>
    <w:p w14:paraId="1FF5835E" w14:textId="6735E4D2" w:rsidR="009047B5" w:rsidRPr="009047B5" w:rsidRDefault="009047B5" w:rsidP="009047B5">
      <w:pPr>
        <w:spacing w:before="100" w:beforeAutospacing="1" w:after="100" w:afterAutospacing="1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en-US"/>
        </w:rPr>
      </w:pPr>
      <w:r w:rsidRPr="009047B5">
        <w:rPr>
          <w:rFonts w:asciiTheme="majorHAnsi" w:eastAsia="Times New Roman" w:hAnsiTheme="majorHAnsi" w:cstheme="majorHAnsi"/>
          <w:position w:val="0"/>
          <w:lang w:eastAsia="en-US"/>
        </w:rPr>
        <w:t>Scarica il </w:t>
      </w:r>
      <w:proofErr w:type="spellStart"/>
      <w:r w:rsidRPr="009047B5">
        <w:rPr>
          <w:rFonts w:asciiTheme="majorHAnsi" w:eastAsia="Times New Roman" w:hAnsiTheme="majorHAnsi" w:cstheme="majorHAnsi"/>
          <w:position w:val="0"/>
          <w:lang w:val="en-US" w:eastAsia="en-US"/>
        </w:rPr>
        <w:fldChar w:fldCharType="begin"/>
      </w:r>
      <w:r w:rsidR="00A57621">
        <w:rPr>
          <w:rFonts w:asciiTheme="majorHAnsi" w:eastAsia="Times New Roman" w:hAnsiTheme="majorHAnsi" w:cstheme="majorHAnsi"/>
          <w:position w:val="0"/>
          <w:lang w:val="en-US" w:eastAsia="en-US"/>
        </w:rPr>
        <w:instrText>HYPERLINK "https://www.alpine-space.eu/projects/alplinkbioeco/en/project-results/joint-masterplan-on-circular-bioeconomy"</w:instrText>
      </w:r>
      <w:r w:rsidR="00A57621" w:rsidRPr="009047B5">
        <w:rPr>
          <w:rFonts w:asciiTheme="majorHAnsi" w:eastAsia="Times New Roman" w:hAnsiTheme="majorHAnsi" w:cstheme="majorHAnsi"/>
          <w:position w:val="0"/>
          <w:lang w:val="en-US" w:eastAsia="en-US"/>
        </w:rPr>
      </w:r>
      <w:r w:rsidRPr="009047B5">
        <w:rPr>
          <w:rFonts w:asciiTheme="majorHAnsi" w:eastAsia="Times New Roman" w:hAnsiTheme="majorHAnsi" w:cstheme="majorHAnsi"/>
          <w:position w:val="0"/>
          <w:lang w:val="en-US" w:eastAsia="en-US"/>
        </w:rPr>
        <w:fldChar w:fldCharType="separate"/>
      </w:r>
      <w:r w:rsidRPr="009047B5">
        <w:rPr>
          <w:rFonts w:asciiTheme="majorHAnsi" w:eastAsia="Times New Roman" w:hAnsiTheme="majorHAnsi" w:cstheme="majorHAnsi"/>
          <w:color w:val="0000FF"/>
          <w:position w:val="0"/>
          <w:u w:val="single"/>
          <w:lang w:eastAsia="en-US"/>
        </w:rPr>
        <w:t>Masterplan</w:t>
      </w:r>
      <w:proofErr w:type="spellEnd"/>
      <w:r w:rsidRPr="009047B5">
        <w:rPr>
          <w:rFonts w:asciiTheme="majorHAnsi" w:eastAsia="Times New Roman" w:hAnsiTheme="majorHAnsi" w:cstheme="majorHAnsi"/>
          <w:position w:val="0"/>
          <w:lang w:val="en-US" w:eastAsia="en-US"/>
        </w:rPr>
        <w:fldChar w:fldCharType="end"/>
      </w:r>
    </w:p>
    <w:p w14:paraId="7E0AF79F" w14:textId="0B1C22E1" w:rsidR="00F37ECB" w:rsidRDefault="00E73A18">
      <w:pPr>
        <w:spacing w:after="240"/>
        <w:ind w:left="0" w:hanging="2"/>
      </w:pPr>
      <w:r w:rsidRPr="00234889">
        <w:br/>
      </w:r>
      <w:r w:rsidR="009047B5">
        <w:t>Trento, 12</w:t>
      </w:r>
      <w:r w:rsidRPr="00234889">
        <w:t xml:space="preserve"> </w:t>
      </w:r>
      <w:r w:rsidR="009047B5">
        <w:t>aprile</w:t>
      </w:r>
      <w:r w:rsidRPr="00234889">
        <w:t xml:space="preserve"> 2021</w:t>
      </w:r>
    </w:p>
    <w:p w14:paraId="5172C2F7" w14:textId="3AAE6488" w:rsidR="009047B5" w:rsidRDefault="009047B5">
      <w:pPr>
        <w:spacing w:after="240"/>
        <w:ind w:left="0" w:hanging="2"/>
      </w:pPr>
    </w:p>
    <w:p w14:paraId="6FE73487" w14:textId="13D715BB" w:rsidR="009047B5" w:rsidRPr="00234889" w:rsidRDefault="009047B5">
      <w:pPr>
        <w:spacing w:after="240"/>
        <w:ind w:left="0" w:hanging="2"/>
      </w:pPr>
    </w:p>
    <w:p w14:paraId="594BCA1B" w14:textId="77777777" w:rsidR="00F37ECB" w:rsidRDefault="00E73A18">
      <w:pPr>
        <w:spacing w:after="240"/>
        <w:ind w:left="0" w:hanging="2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Hub</w:t>
      </w:r>
      <w:proofErr w:type="spellEnd"/>
      <w:r>
        <w:rPr>
          <w:b/>
          <w:color w:val="000000"/>
          <w:sz w:val="24"/>
          <w:szCs w:val="24"/>
        </w:rPr>
        <w:t xml:space="preserve"> Innovazione Trentino - Fondazione</w:t>
      </w:r>
    </w:p>
    <w:p w14:paraId="4B9548FF" w14:textId="77777777" w:rsidR="00F37ECB" w:rsidRDefault="00E73A18">
      <w:pPr>
        <w:ind w:left="0" w:hanging="2"/>
        <w:rPr>
          <w:b/>
        </w:rPr>
      </w:pPr>
      <w:r>
        <w:rPr>
          <w:b/>
        </w:rPr>
        <w:t>Rapporti con i media</w:t>
      </w:r>
    </w:p>
    <w:p w14:paraId="391E3AA6" w14:textId="77777777" w:rsidR="00F37ECB" w:rsidRDefault="00E73A18">
      <w:pPr>
        <w:spacing w:after="0"/>
        <w:ind w:left="0" w:hanging="2"/>
      </w:pPr>
      <w:r>
        <w:t>Camilla Martinelli</w:t>
      </w:r>
    </w:p>
    <w:p w14:paraId="57BCCE3E" w14:textId="77777777" w:rsidR="00F37ECB" w:rsidRPr="00234889" w:rsidRDefault="00E73A18">
      <w:pPr>
        <w:spacing w:after="0"/>
        <w:ind w:left="0" w:hanging="2"/>
        <w:rPr>
          <w:lang w:val="en-US"/>
        </w:rPr>
      </w:pPr>
      <w:r w:rsidRPr="00234889">
        <w:rPr>
          <w:lang w:val="en-US"/>
        </w:rPr>
        <w:t>Communication Manager</w:t>
      </w:r>
    </w:p>
    <w:p w14:paraId="0140F57F" w14:textId="77777777" w:rsidR="00F37ECB" w:rsidRPr="00234889" w:rsidRDefault="00E73A18">
      <w:pPr>
        <w:spacing w:after="0"/>
        <w:ind w:left="0" w:hanging="2"/>
        <w:rPr>
          <w:lang w:val="en-US"/>
        </w:rPr>
      </w:pPr>
      <w:r w:rsidRPr="00234889">
        <w:rPr>
          <w:lang w:val="en-US"/>
        </w:rPr>
        <w:t>c.martinelli@trentinoinnovation.eu</w:t>
      </w:r>
    </w:p>
    <w:p w14:paraId="3416BBDD" w14:textId="77777777" w:rsidR="00F37ECB" w:rsidRDefault="00E73A18">
      <w:pPr>
        <w:spacing w:after="240"/>
        <w:ind w:left="0" w:hanging="2"/>
      </w:pPr>
      <w:r>
        <w:t>M: +39 331 6679183</w:t>
      </w:r>
    </w:p>
    <w:p w14:paraId="6731E600" w14:textId="6CC49347" w:rsidR="00F37ECB" w:rsidRDefault="00E73A18">
      <w:pPr>
        <w:spacing w:after="240"/>
        <w:ind w:left="0" w:hanging="2"/>
        <w:rPr>
          <w:color w:val="0000FF"/>
          <w:u w:val="single"/>
        </w:rPr>
      </w:pPr>
      <w:r>
        <w:t xml:space="preserve">Sito Hub Innovazione Trentino: </w:t>
      </w:r>
      <w:hyperlink r:id="rId9">
        <w:r>
          <w:rPr>
            <w:color w:val="0000FF"/>
            <w:u w:val="single"/>
          </w:rPr>
          <w:t>www.trentinoinnovation.eu</w:t>
        </w:r>
      </w:hyperlink>
    </w:p>
    <w:p w14:paraId="63B148C1" w14:textId="77777777" w:rsidR="005C57B0" w:rsidRPr="00234889" w:rsidRDefault="005C57B0" w:rsidP="00234889">
      <w:pPr>
        <w:spacing w:after="240"/>
        <w:ind w:leftChars="0" w:left="0" w:firstLineChars="0" w:firstLine="0"/>
        <w:rPr>
          <w:lang w:val="en-US"/>
        </w:rPr>
      </w:pPr>
    </w:p>
    <w:p w14:paraId="501EACD3" w14:textId="77777777" w:rsidR="00F37ECB" w:rsidRPr="00234889" w:rsidRDefault="00F37ECB">
      <w:pPr>
        <w:spacing w:after="240"/>
        <w:ind w:left="0" w:hanging="2"/>
        <w:rPr>
          <w:lang w:val="en-US"/>
        </w:rPr>
      </w:pPr>
    </w:p>
    <w:sectPr w:rsidR="00F37ECB" w:rsidRPr="002348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560" w:left="1134" w:header="794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9A1AA" w14:textId="77777777" w:rsidR="00EA7F17" w:rsidRDefault="00EA7F1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6BF22A8" w14:textId="77777777" w:rsidR="00EA7F17" w:rsidRDefault="00EA7F1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3A6A5" w14:textId="77777777" w:rsidR="00F37ECB" w:rsidRDefault="00F37EC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B5CBE" w14:textId="77777777" w:rsidR="00F37ECB" w:rsidRDefault="00E73A1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Helvetica Neue" w:eastAsia="Helvetica Neue" w:hAnsi="Helvetica Neue" w:cs="Helvetica Neue"/>
        <w:color w:val="323E4F"/>
        <w:sz w:val="16"/>
        <w:szCs w:val="16"/>
      </w:rPr>
    </w:pPr>
    <w:r>
      <w:rPr>
        <w:rFonts w:ascii="Helvetica Neue" w:eastAsia="Helvetica Neue" w:hAnsi="Helvetica Neue" w:cs="Helvetica Neue"/>
        <w:color w:val="323E4F"/>
        <w:sz w:val="16"/>
        <w:szCs w:val="16"/>
      </w:rPr>
      <w:t>Hub Innovazione Trentino – Fondazione, Piazza Manci 17- 38123 Povo-Trento (Italia)</w:t>
    </w:r>
  </w:p>
  <w:p w14:paraId="0BD1A611" w14:textId="77777777" w:rsidR="00F37ECB" w:rsidRDefault="00E73A1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Helvetica Neue" w:eastAsia="Helvetica Neue" w:hAnsi="Helvetica Neue" w:cs="Helvetica Neue"/>
        <w:color w:val="323E4F"/>
        <w:sz w:val="16"/>
        <w:szCs w:val="16"/>
      </w:rPr>
    </w:pPr>
    <w:r>
      <w:rPr>
        <w:rFonts w:ascii="Helvetica Neue" w:eastAsia="Helvetica Neue" w:hAnsi="Helvetica Neue" w:cs="Helvetica Neue"/>
        <w:color w:val="323E4F"/>
        <w:sz w:val="16"/>
        <w:szCs w:val="16"/>
      </w:rPr>
      <w:t xml:space="preserve">Tel. 0461 314 057; Mail </w:t>
    </w:r>
    <w:hyperlink r:id="rId1">
      <w:r>
        <w:rPr>
          <w:rFonts w:ascii="Helvetica Neue" w:eastAsia="Helvetica Neue" w:hAnsi="Helvetica Neue" w:cs="Helvetica Neue"/>
          <w:color w:val="323E4F"/>
          <w:sz w:val="16"/>
          <w:szCs w:val="16"/>
        </w:rPr>
        <w:t>info@trentinoinnovation.eu</w:t>
      </w:r>
    </w:hyperlink>
    <w:r>
      <w:rPr>
        <w:rFonts w:ascii="Helvetica Neue" w:eastAsia="Helvetica Neue" w:hAnsi="Helvetica Neue" w:cs="Helvetica Neue"/>
        <w:color w:val="323E4F"/>
        <w:sz w:val="16"/>
        <w:szCs w:val="16"/>
      </w:rPr>
      <w:t xml:space="preserve">; </w:t>
    </w:r>
    <w:proofErr w:type="spellStart"/>
    <w:r>
      <w:rPr>
        <w:rFonts w:ascii="Helvetica Neue" w:eastAsia="Helvetica Neue" w:hAnsi="Helvetica Neue" w:cs="Helvetica Neue"/>
        <w:color w:val="323E4F"/>
        <w:sz w:val="16"/>
        <w:szCs w:val="16"/>
      </w:rPr>
      <w:t>Pec</w:t>
    </w:r>
    <w:proofErr w:type="spellEnd"/>
    <w:r>
      <w:rPr>
        <w:rFonts w:ascii="Helvetica Neue" w:eastAsia="Helvetica Neue" w:hAnsi="Helvetica Neue" w:cs="Helvetica Neue"/>
        <w:color w:val="323E4F"/>
        <w:sz w:val="16"/>
        <w:szCs w:val="16"/>
      </w:rPr>
      <w:t xml:space="preserve"> </w:t>
    </w:r>
    <w:hyperlink r:id="rId2">
      <w:r>
        <w:rPr>
          <w:rFonts w:ascii="Helvetica Neue" w:eastAsia="Helvetica Neue" w:hAnsi="Helvetica Neue" w:cs="Helvetica Neue"/>
          <w:color w:val="323E4F"/>
          <w:sz w:val="16"/>
          <w:szCs w:val="16"/>
        </w:rPr>
        <w:t>hubinnovazione@pec.it</w:t>
      </w:r>
    </w:hyperlink>
    <w:r>
      <w:rPr>
        <w:rFonts w:ascii="Helvetica Neue" w:eastAsia="Helvetica Neue" w:hAnsi="Helvetica Neue" w:cs="Helvetica Neue"/>
        <w:color w:val="323E4F"/>
        <w:sz w:val="16"/>
        <w:szCs w:val="16"/>
      </w:rPr>
      <w:t xml:space="preserve"> - C.F., P.IVA 02392830226</w:t>
    </w:r>
  </w:p>
  <w:p w14:paraId="04DC80C5" w14:textId="77777777" w:rsidR="00F37ECB" w:rsidRDefault="00F37EC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17193" w14:textId="77777777" w:rsidR="00F37ECB" w:rsidRDefault="00F37EC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9D12A" w14:textId="77777777" w:rsidR="00EA7F17" w:rsidRDefault="00EA7F1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6A752BD" w14:textId="77777777" w:rsidR="00EA7F17" w:rsidRDefault="00EA7F1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139EE" w14:textId="77777777" w:rsidR="00F37ECB" w:rsidRDefault="00F37EC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238F5" w14:textId="77777777" w:rsidR="00F37ECB" w:rsidRDefault="00E73A1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br/>
    </w:r>
    <w:r>
      <w:rPr>
        <w:color w:val="000000"/>
      </w:rPr>
      <w:br/>
    </w:r>
    <w:r>
      <w:rPr>
        <w:color w:val="000000"/>
      </w:rPr>
      <w:br/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73B62654" wp14:editId="2DE95D3A">
          <wp:simplePos x="0" y="0"/>
          <wp:positionH relativeFrom="column">
            <wp:posOffset>4911725</wp:posOffset>
          </wp:positionH>
          <wp:positionV relativeFrom="paragraph">
            <wp:posOffset>-260348</wp:posOffset>
          </wp:positionV>
          <wp:extent cx="1190625" cy="42354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423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DEACD" w14:textId="77777777" w:rsidR="00F37ECB" w:rsidRDefault="00F37EC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MzM1NTEzNrEwNTNW0lEKTi0uzszPAykwrAUAh1O6niwAAAA="/>
  </w:docVars>
  <w:rsids>
    <w:rsidRoot w:val="00F37ECB"/>
    <w:rsid w:val="00022131"/>
    <w:rsid w:val="0002516D"/>
    <w:rsid w:val="000829E5"/>
    <w:rsid w:val="00096D96"/>
    <w:rsid w:val="00191246"/>
    <w:rsid w:val="001C107D"/>
    <w:rsid w:val="001E6E9B"/>
    <w:rsid w:val="001F2F11"/>
    <w:rsid w:val="00234889"/>
    <w:rsid w:val="00240C64"/>
    <w:rsid w:val="0028367E"/>
    <w:rsid w:val="002A202E"/>
    <w:rsid w:val="002C32D7"/>
    <w:rsid w:val="002F1D74"/>
    <w:rsid w:val="0039066B"/>
    <w:rsid w:val="00392A1E"/>
    <w:rsid w:val="003E2D83"/>
    <w:rsid w:val="00440B00"/>
    <w:rsid w:val="004969E5"/>
    <w:rsid w:val="00585928"/>
    <w:rsid w:val="005C57B0"/>
    <w:rsid w:val="006847DC"/>
    <w:rsid w:val="006A084F"/>
    <w:rsid w:val="006A4B7E"/>
    <w:rsid w:val="006F6C81"/>
    <w:rsid w:val="007151D2"/>
    <w:rsid w:val="007A265F"/>
    <w:rsid w:val="007D2875"/>
    <w:rsid w:val="009047B5"/>
    <w:rsid w:val="009C5290"/>
    <w:rsid w:val="009E0CB1"/>
    <w:rsid w:val="00A57621"/>
    <w:rsid w:val="00A86B8A"/>
    <w:rsid w:val="00BE3F66"/>
    <w:rsid w:val="00BE767F"/>
    <w:rsid w:val="00D07A13"/>
    <w:rsid w:val="00DF5A5F"/>
    <w:rsid w:val="00E12417"/>
    <w:rsid w:val="00E363AE"/>
    <w:rsid w:val="00E57C79"/>
    <w:rsid w:val="00E73A18"/>
    <w:rsid w:val="00EA7F17"/>
    <w:rsid w:val="00EE7843"/>
    <w:rsid w:val="00F37ECB"/>
    <w:rsid w:val="00F8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FC25"/>
  <w15:docId w15:val="{22183F92-7064-4639-B806-89BB73DC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en-US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iferimentointenso1">
    <w:name w:val="Riferimento intenso1"/>
    <w:rPr>
      <w:b/>
      <w:bCs/>
      <w:smallCaps/>
      <w:color w:val="5B9BD5"/>
      <w:spacing w:val="5"/>
      <w:w w:val="100"/>
      <w:position w:val="-1"/>
      <w:effect w:val="none"/>
      <w:vertAlign w:val="baseline"/>
      <w:cs w:val="0"/>
      <w:em w:val="none"/>
    </w:rPr>
  </w:style>
  <w:style w:type="paragraph" w:customStyle="1" w:styleId="Titolo1">
    <w:name w:val="Titolo1"/>
    <w:basedOn w:val="Normal"/>
    <w:next w:val="BodyText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spacing w:after="0" w:line="240" w:lineRule="auto"/>
    </w:pPr>
  </w:style>
  <w:style w:type="paragraph" w:styleId="Footer">
    <w:name w:val="footer"/>
    <w:basedOn w:val="Normal"/>
    <w:pPr>
      <w:spacing w:after="0" w:line="240" w:lineRule="auto"/>
    </w:pPr>
  </w:style>
  <w:style w:type="paragraph" w:customStyle="1" w:styleId="Testofumetto1">
    <w:name w:val="Testo fumetto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essunaspaziatura1">
    <w:name w:val="Nessuna spaziatura1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ListParagraph">
    <w:name w:val="List Paragraph"/>
    <w:basedOn w:val="Normal"/>
    <w:pPr>
      <w:suppressAutoHyphens/>
      <w:ind w:left="720"/>
      <w:contextualSpacing/>
    </w:pPr>
    <w:rPr>
      <w:rFonts w:cs="Times New Roman"/>
    </w:rPr>
  </w:style>
  <w:style w:type="character" w:customStyle="1" w:styleId="FooterChar">
    <w:name w:val="Footer Char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FootnoteText">
    <w:name w:val="footnote text"/>
    <w:basedOn w:val="Normal"/>
    <w:qFormat/>
    <w:rPr>
      <w:sz w:val="20"/>
      <w:szCs w:val="20"/>
    </w:rPr>
  </w:style>
  <w:style w:type="character" w:customStyle="1" w:styleId="FootnoteTextChar">
    <w:name w:val="Footnote Text Char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FootnoteReferenc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Menzionenonrisolta">
    <w:name w:val="Menzione non risolt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qFormat/>
    <w:rPr>
      <w:w w:val="100"/>
      <w:position w:val="-1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rFonts w:ascii="Calibri" w:eastAsia="Calibri" w:hAnsi="Calibri"/>
      <w:b/>
      <w:bCs/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ltextrun">
    <w:name w:val="normaltextrun"/>
    <w:basedOn w:val="DefaultParagraphFont"/>
    <w:rsid w:val="002C7481"/>
  </w:style>
  <w:style w:type="character" w:customStyle="1" w:styleId="eop">
    <w:name w:val="eop"/>
    <w:basedOn w:val="DefaultParagraphFont"/>
    <w:rsid w:val="002C7481"/>
  </w:style>
  <w:style w:type="character" w:styleId="FollowedHyperlink">
    <w:name w:val="FollowedHyperlink"/>
    <w:basedOn w:val="DefaultParagraphFont"/>
    <w:uiPriority w:val="99"/>
    <w:semiHidden/>
    <w:unhideWhenUsed/>
    <w:rsid w:val="002C7481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C7481"/>
    <w:rPr>
      <w:b/>
      <w:bCs/>
    </w:rPr>
  </w:style>
  <w:style w:type="character" w:styleId="Emphasis">
    <w:name w:val="Emphasis"/>
    <w:basedOn w:val="DefaultParagraphFont"/>
    <w:uiPriority w:val="20"/>
    <w:qFormat/>
    <w:rsid w:val="002C7481"/>
    <w:rPr>
      <w:i/>
      <w:iCs/>
    </w:rPr>
  </w:style>
  <w:style w:type="character" w:customStyle="1" w:styleId="mvqa2c">
    <w:name w:val="mvqa2c"/>
    <w:basedOn w:val="DefaultParagraphFont"/>
    <w:rsid w:val="00D929AE"/>
  </w:style>
  <w:style w:type="character" w:customStyle="1" w:styleId="material-icons-extended">
    <w:name w:val="material-icons-extended"/>
    <w:basedOn w:val="DefaultParagraphFont"/>
    <w:rsid w:val="00D929AE"/>
  </w:style>
  <w:style w:type="character" w:customStyle="1" w:styleId="jlqj4b">
    <w:name w:val="jlqj4b"/>
    <w:basedOn w:val="DefaultParagraphFont"/>
    <w:rsid w:val="00D92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alplinkbioeco.tic.heia-fr.ch/hom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demo.alplinkbioeco.tic.heia-fr.ch/hom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rentinoinnovation.e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ubinnovazione@pec.it" TargetMode="External"/><Relationship Id="rId1" Type="http://schemas.openxmlformats.org/officeDocument/2006/relationships/hyperlink" Target="mailto:info@trentinoinnovation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MOar+/8soGqTNgzJa6yAtoBwTQ==">AMUW2mUzG4PzN/+lw4YW/DY9rbnMCAJE3Dw0nk5cxZRqr4uzu9tJ1dbSSPf8qiGx6IURwQUcDRuGeoonTBGxQBmGUktmgNWaQtqLNvjqPBfJBcIIRc9rit1IDmTKXhOapbc1qze8u3Mt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Lovato</dc:creator>
  <cp:lastModifiedBy>Windows User</cp:lastModifiedBy>
  <cp:revision>10</cp:revision>
  <dcterms:created xsi:type="dcterms:W3CDTF">2021-03-30T08:57:00Z</dcterms:created>
  <dcterms:modified xsi:type="dcterms:W3CDTF">2021-04-12T12:20:00Z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0x010100E4690D6B5D27DD428C37DB9348E6ECBF</vt:lpwstr>
  </property>
</Properties>
</file>